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031"/>
        <w:gridCol w:w="290"/>
        <w:gridCol w:w="4039"/>
      </w:tblGrid>
      <w:tr w:rsidR="00477A6E" w:rsidRPr="0005371E" w14:paraId="0F808337" w14:textId="77777777" w:rsidTr="009212AB">
        <w:tc>
          <w:tcPr>
            <w:tcW w:w="9576" w:type="dxa"/>
            <w:gridSpan w:val="3"/>
            <w:shd w:val="clear" w:color="auto" w:fill="auto"/>
          </w:tcPr>
          <w:p w14:paraId="3792A2E9" w14:textId="77777777" w:rsidR="00477A6E" w:rsidRPr="0005371E" w:rsidRDefault="00477A6E" w:rsidP="00477A6E">
            <w:pPr>
              <w:tabs>
                <w:tab w:val="center" w:pos="4680"/>
              </w:tabs>
              <w:jc w:val="center"/>
              <w:rPr>
                <w:sz w:val="22"/>
                <w:szCs w:val="22"/>
              </w:rPr>
            </w:pPr>
            <w:r w:rsidRPr="0005371E">
              <w:rPr>
                <w:b/>
                <w:sz w:val="22"/>
                <w:szCs w:val="22"/>
              </w:rPr>
              <w:t xml:space="preserve">IN THE </w:t>
            </w:r>
            <w:r>
              <w:rPr>
                <w:b/>
                <w:sz w:val="22"/>
                <w:szCs w:val="22"/>
              </w:rPr>
              <w:t>SUPERIOR</w:t>
            </w:r>
            <w:r w:rsidRPr="0005371E">
              <w:rPr>
                <w:b/>
                <w:sz w:val="22"/>
                <w:szCs w:val="22"/>
              </w:rPr>
              <w:t xml:space="preserve"> COURT </w:t>
            </w:r>
            <w:r>
              <w:rPr>
                <w:b/>
                <w:sz w:val="22"/>
                <w:szCs w:val="22"/>
              </w:rPr>
              <w:t>FULTON COUNTY</w:t>
            </w:r>
          </w:p>
        </w:tc>
      </w:tr>
      <w:tr w:rsidR="00477A6E" w:rsidRPr="0005371E" w14:paraId="5537F808" w14:textId="77777777" w:rsidTr="009212AB">
        <w:tc>
          <w:tcPr>
            <w:tcW w:w="9576" w:type="dxa"/>
            <w:gridSpan w:val="3"/>
            <w:shd w:val="clear" w:color="auto" w:fill="auto"/>
          </w:tcPr>
          <w:p w14:paraId="50367BCB" w14:textId="77777777" w:rsidR="00477A6E" w:rsidRPr="0005371E" w:rsidRDefault="00477A6E" w:rsidP="009212AB">
            <w:pPr>
              <w:tabs>
                <w:tab w:val="center" w:pos="4680"/>
              </w:tabs>
              <w:jc w:val="center"/>
              <w:rPr>
                <w:sz w:val="22"/>
                <w:szCs w:val="22"/>
              </w:rPr>
            </w:pPr>
            <w:r w:rsidRPr="0005371E">
              <w:rPr>
                <w:b/>
                <w:sz w:val="22"/>
                <w:szCs w:val="22"/>
              </w:rPr>
              <w:t>STATE OF GEORGIA</w:t>
            </w:r>
          </w:p>
        </w:tc>
      </w:tr>
      <w:tr w:rsidR="00477A6E" w:rsidRPr="0005371E" w14:paraId="55120A22" w14:textId="77777777" w:rsidTr="009212AB">
        <w:tc>
          <w:tcPr>
            <w:tcW w:w="5148" w:type="dxa"/>
            <w:shd w:val="clear" w:color="auto" w:fill="auto"/>
          </w:tcPr>
          <w:p w14:paraId="5F332A37" w14:textId="77777777" w:rsidR="00477A6E" w:rsidRPr="0005371E" w:rsidRDefault="00477A6E" w:rsidP="009212AB">
            <w:pPr>
              <w:tabs>
                <w:tab w:val="center" w:pos="4680"/>
              </w:tabs>
              <w:jc w:val="both"/>
              <w:rPr>
                <w:sz w:val="22"/>
                <w:szCs w:val="22"/>
              </w:rPr>
            </w:pPr>
          </w:p>
        </w:tc>
        <w:tc>
          <w:tcPr>
            <w:tcW w:w="270" w:type="dxa"/>
            <w:shd w:val="clear" w:color="auto" w:fill="auto"/>
          </w:tcPr>
          <w:p w14:paraId="48E75B9E"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shd w:val="clear" w:color="auto" w:fill="auto"/>
          </w:tcPr>
          <w:p w14:paraId="6EB29BDB" w14:textId="77777777" w:rsidR="00477A6E" w:rsidRPr="0005371E" w:rsidRDefault="00477A6E" w:rsidP="009212AB">
            <w:pPr>
              <w:tabs>
                <w:tab w:val="center" w:pos="4680"/>
              </w:tabs>
              <w:jc w:val="both"/>
              <w:rPr>
                <w:sz w:val="22"/>
                <w:szCs w:val="22"/>
              </w:rPr>
            </w:pPr>
          </w:p>
        </w:tc>
      </w:tr>
      <w:tr w:rsidR="00477A6E" w:rsidRPr="0005371E" w14:paraId="34713F8D" w14:textId="77777777" w:rsidTr="009212AB">
        <w:tc>
          <w:tcPr>
            <w:tcW w:w="5148" w:type="dxa"/>
            <w:shd w:val="clear" w:color="auto" w:fill="auto"/>
          </w:tcPr>
          <w:p w14:paraId="301B91A5" w14:textId="77777777" w:rsidR="00477A6E" w:rsidRPr="0005371E" w:rsidRDefault="00477A6E" w:rsidP="009212AB">
            <w:pPr>
              <w:tabs>
                <w:tab w:val="center" w:pos="4680"/>
              </w:tabs>
              <w:rPr>
                <w:b/>
                <w:sz w:val="22"/>
                <w:szCs w:val="22"/>
              </w:rPr>
            </w:pPr>
            <w:r w:rsidRPr="0005371E">
              <w:rPr>
                <w:b/>
                <w:sz w:val="22"/>
                <w:szCs w:val="22"/>
              </w:rPr>
              <w:t>CITY OF SANDY SPRINGS, GEORGIA</w:t>
            </w:r>
          </w:p>
        </w:tc>
        <w:tc>
          <w:tcPr>
            <w:tcW w:w="270" w:type="dxa"/>
            <w:shd w:val="clear" w:color="auto" w:fill="auto"/>
          </w:tcPr>
          <w:p w14:paraId="2CAF31DF" w14:textId="77777777" w:rsidR="00477A6E" w:rsidRPr="0005371E" w:rsidRDefault="00477A6E" w:rsidP="009212AB">
            <w:pPr>
              <w:tabs>
                <w:tab w:val="center" w:pos="4680"/>
              </w:tabs>
              <w:jc w:val="both"/>
              <w:rPr>
                <w:sz w:val="22"/>
                <w:szCs w:val="22"/>
              </w:rPr>
            </w:pPr>
            <w:r w:rsidRPr="0005371E">
              <w:rPr>
                <w:sz w:val="22"/>
                <w:szCs w:val="22"/>
              </w:rPr>
              <w:t>)</w:t>
            </w:r>
          </w:p>
          <w:p w14:paraId="58190410" w14:textId="77777777" w:rsidR="00477A6E" w:rsidRPr="0005371E" w:rsidRDefault="00477A6E" w:rsidP="009212AB">
            <w:pPr>
              <w:tabs>
                <w:tab w:val="center" w:pos="4680"/>
              </w:tabs>
              <w:jc w:val="both"/>
              <w:rPr>
                <w:sz w:val="22"/>
                <w:szCs w:val="22"/>
              </w:rPr>
            </w:pPr>
            <w:r w:rsidRPr="0005371E">
              <w:rPr>
                <w:sz w:val="22"/>
                <w:szCs w:val="22"/>
              </w:rPr>
              <w:t>)</w:t>
            </w:r>
          </w:p>
          <w:p w14:paraId="52BDC1AA"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tcBorders>
              <w:bottom w:val="single" w:sz="4" w:space="0" w:color="auto"/>
            </w:tcBorders>
            <w:shd w:val="clear" w:color="auto" w:fill="auto"/>
          </w:tcPr>
          <w:p w14:paraId="54BB6728" w14:textId="77777777" w:rsidR="00477A6E" w:rsidRPr="0005371E" w:rsidRDefault="00477A6E" w:rsidP="009212AB">
            <w:pPr>
              <w:tabs>
                <w:tab w:val="center" w:pos="4680"/>
              </w:tabs>
              <w:rPr>
                <w:b/>
                <w:sz w:val="22"/>
                <w:szCs w:val="22"/>
              </w:rPr>
            </w:pPr>
            <w:r w:rsidRPr="0005371E">
              <w:rPr>
                <w:b/>
                <w:sz w:val="22"/>
                <w:szCs w:val="22"/>
              </w:rPr>
              <w:t>Case No:</w:t>
            </w:r>
          </w:p>
        </w:tc>
      </w:tr>
      <w:tr w:rsidR="00477A6E" w:rsidRPr="0005371E" w14:paraId="3442602E" w14:textId="77777777" w:rsidTr="009212AB">
        <w:tc>
          <w:tcPr>
            <w:tcW w:w="5148" w:type="dxa"/>
            <w:shd w:val="clear" w:color="auto" w:fill="auto"/>
          </w:tcPr>
          <w:p w14:paraId="779FCBC7" w14:textId="77777777" w:rsidR="00477A6E" w:rsidRPr="0005371E" w:rsidRDefault="00477A6E" w:rsidP="009212AB">
            <w:pPr>
              <w:tabs>
                <w:tab w:val="center" w:pos="4680"/>
              </w:tabs>
              <w:jc w:val="both"/>
              <w:rPr>
                <w:b/>
                <w:sz w:val="22"/>
                <w:szCs w:val="22"/>
              </w:rPr>
            </w:pPr>
          </w:p>
        </w:tc>
        <w:tc>
          <w:tcPr>
            <w:tcW w:w="270" w:type="dxa"/>
            <w:shd w:val="clear" w:color="auto" w:fill="auto"/>
          </w:tcPr>
          <w:p w14:paraId="48597D0A"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tcBorders>
              <w:top w:val="single" w:sz="4" w:space="0" w:color="auto"/>
            </w:tcBorders>
            <w:shd w:val="clear" w:color="auto" w:fill="auto"/>
          </w:tcPr>
          <w:p w14:paraId="2C1ECA44" w14:textId="77777777" w:rsidR="00477A6E" w:rsidRPr="0005371E" w:rsidRDefault="00477A6E" w:rsidP="009212AB">
            <w:pPr>
              <w:tabs>
                <w:tab w:val="center" w:pos="4680"/>
              </w:tabs>
              <w:rPr>
                <w:b/>
                <w:sz w:val="22"/>
                <w:szCs w:val="22"/>
              </w:rPr>
            </w:pPr>
          </w:p>
        </w:tc>
      </w:tr>
      <w:tr w:rsidR="00477A6E" w:rsidRPr="0005371E" w14:paraId="1D70094C" w14:textId="77777777" w:rsidTr="009212AB">
        <w:tc>
          <w:tcPr>
            <w:tcW w:w="5148" w:type="dxa"/>
            <w:shd w:val="clear" w:color="auto" w:fill="auto"/>
          </w:tcPr>
          <w:p w14:paraId="71709781" w14:textId="77777777" w:rsidR="00477A6E" w:rsidRPr="0005371E" w:rsidRDefault="00477A6E" w:rsidP="009212AB">
            <w:pPr>
              <w:jc w:val="both"/>
              <w:rPr>
                <w:b/>
                <w:sz w:val="22"/>
                <w:szCs w:val="22"/>
              </w:rPr>
            </w:pPr>
            <w:r>
              <w:rPr>
                <w:b/>
                <w:sz w:val="22"/>
                <w:szCs w:val="22"/>
              </w:rPr>
              <w:tab/>
              <w:t>Plaintiff</w:t>
            </w:r>
          </w:p>
        </w:tc>
        <w:tc>
          <w:tcPr>
            <w:tcW w:w="270" w:type="dxa"/>
            <w:shd w:val="clear" w:color="auto" w:fill="auto"/>
          </w:tcPr>
          <w:p w14:paraId="0771250E"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shd w:val="clear" w:color="auto" w:fill="auto"/>
          </w:tcPr>
          <w:p w14:paraId="1AA740DC" w14:textId="77777777" w:rsidR="00477A6E" w:rsidRPr="0005371E" w:rsidRDefault="00477A6E" w:rsidP="009212AB">
            <w:pPr>
              <w:tabs>
                <w:tab w:val="center" w:pos="4680"/>
              </w:tabs>
              <w:rPr>
                <w:b/>
                <w:sz w:val="22"/>
                <w:szCs w:val="22"/>
              </w:rPr>
            </w:pPr>
          </w:p>
        </w:tc>
      </w:tr>
      <w:tr w:rsidR="00477A6E" w:rsidRPr="0005371E" w14:paraId="34D93334" w14:textId="77777777" w:rsidTr="009212AB">
        <w:tc>
          <w:tcPr>
            <w:tcW w:w="5148" w:type="dxa"/>
            <w:shd w:val="clear" w:color="auto" w:fill="auto"/>
          </w:tcPr>
          <w:p w14:paraId="6E21661F" w14:textId="77777777" w:rsidR="00477A6E" w:rsidRPr="0005371E" w:rsidRDefault="00477A6E" w:rsidP="009212AB">
            <w:pPr>
              <w:tabs>
                <w:tab w:val="center" w:pos="4680"/>
              </w:tabs>
              <w:jc w:val="both"/>
              <w:rPr>
                <w:b/>
                <w:sz w:val="22"/>
                <w:szCs w:val="22"/>
              </w:rPr>
            </w:pPr>
            <w:r w:rsidRPr="0005371E">
              <w:rPr>
                <w:b/>
                <w:sz w:val="22"/>
                <w:szCs w:val="22"/>
              </w:rPr>
              <w:t>vs.</w:t>
            </w:r>
          </w:p>
        </w:tc>
        <w:tc>
          <w:tcPr>
            <w:tcW w:w="270" w:type="dxa"/>
            <w:shd w:val="clear" w:color="auto" w:fill="auto"/>
          </w:tcPr>
          <w:p w14:paraId="1257B856"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shd w:val="clear" w:color="auto" w:fill="auto"/>
          </w:tcPr>
          <w:p w14:paraId="4A47857F" w14:textId="77777777" w:rsidR="00477A6E" w:rsidRPr="0005371E" w:rsidRDefault="00477A6E" w:rsidP="009212AB">
            <w:pPr>
              <w:tabs>
                <w:tab w:val="center" w:pos="4680"/>
              </w:tabs>
              <w:rPr>
                <w:b/>
                <w:sz w:val="22"/>
                <w:szCs w:val="22"/>
              </w:rPr>
            </w:pPr>
          </w:p>
        </w:tc>
      </w:tr>
      <w:tr w:rsidR="00477A6E" w:rsidRPr="0005371E" w14:paraId="094C08E9" w14:textId="77777777" w:rsidTr="009212AB">
        <w:tc>
          <w:tcPr>
            <w:tcW w:w="5148" w:type="dxa"/>
            <w:shd w:val="clear" w:color="auto" w:fill="auto"/>
          </w:tcPr>
          <w:p w14:paraId="0B8E121C" w14:textId="77777777" w:rsidR="00477A6E" w:rsidRPr="0005371E" w:rsidRDefault="00477A6E" w:rsidP="009212AB">
            <w:pPr>
              <w:tabs>
                <w:tab w:val="center" w:pos="4680"/>
              </w:tabs>
              <w:jc w:val="both"/>
              <w:rPr>
                <w:b/>
                <w:sz w:val="22"/>
                <w:szCs w:val="22"/>
              </w:rPr>
            </w:pPr>
          </w:p>
        </w:tc>
        <w:tc>
          <w:tcPr>
            <w:tcW w:w="270" w:type="dxa"/>
            <w:shd w:val="clear" w:color="auto" w:fill="auto"/>
          </w:tcPr>
          <w:p w14:paraId="645962D5" w14:textId="77777777" w:rsidR="00477A6E" w:rsidRPr="0005371E" w:rsidRDefault="00477A6E" w:rsidP="009212AB">
            <w:pPr>
              <w:tabs>
                <w:tab w:val="center" w:pos="4680"/>
              </w:tabs>
              <w:jc w:val="both"/>
              <w:rPr>
                <w:sz w:val="22"/>
                <w:szCs w:val="22"/>
              </w:rPr>
            </w:pPr>
            <w:r w:rsidRPr="0005371E">
              <w:rPr>
                <w:sz w:val="22"/>
                <w:szCs w:val="22"/>
              </w:rPr>
              <w:t>)</w:t>
            </w:r>
          </w:p>
        </w:tc>
        <w:tc>
          <w:tcPr>
            <w:tcW w:w="4158" w:type="dxa"/>
            <w:shd w:val="clear" w:color="auto" w:fill="auto"/>
          </w:tcPr>
          <w:p w14:paraId="54317B17" w14:textId="77777777" w:rsidR="00477A6E" w:rsidRPr="0005371E" w:rsidRDefault="00477A6E" w:rsidP="009212AB">
            <w:pPr>
              <w:tabs>
                <w:tab w:val="center" w:pos="4680"/>
              </w:tabs>
              <w:rPr>
                <w:b/>
                <w:sz w:val="22"/>
                <w:szCs w:val="22"/>
              </w:rPr>
            </w:pPr>
          </w:p>
        </w:tc>
      </w:tr>
      <w:tr w:rsidR="00477A6E" w:rsidRPr="0005371E" w14:paraId="11B9FC28" w14:textId="77777777" w:rsidTr="009212AB">
        <w:tc>
          <w:tcPr>
            <w:tcW w:w="5148" w:type="dxa"/>
            <w:shd w:val="clear" w:color="auto" w:fill="auto"/>
          </w:tcPr>
          <w:p w14:paraId="44FE872B" w14:textId="77777777" w:rsidR="00477A6E" w:rsidRDefault="00374C65" w:rsidP="009212AB">
            <w:pPr>
              <w:tabs>
                <w:tab w:val="center" w:pos="4680"/>
              </w:tabs>
              <w:rPr>
                <w:b/>
                <w:sz w:val="22"/>
                <w:szCs w:val="22"/>
              </w:rPr>
            </w:pPr>
            <w:r>
              <w:rPr>
                <w:b/>
                <w:sz w:val="22"/>
                <w:szCs w:val="22"/>
              </w:rPr>
              <w:t>JAVIER MCINTOSH AND MICHAEL A. REVELL</w:t>
            </w:r>
            <w:r w:rsidR="00477A6E" w:rsidRPr="0005371E">
              <w:rPr>
                <w:b/>
                <w:sz w:val="22"/>
                <w:szCs w:val="22"/>
              </w:rPr>
              <w:t>,</w:t>
            </w:r>
            <w:r>
              <w:rPr>
                <w:b/>
                <w:sz w:val="22"/>
                <w:szCs w:val="22"/>
              </w:rPr>
              <w:t xml:space="preserve"> II,</w:t>
            </w:r>
          </w:p>
          <w:p w14:paraId="7394631F" w14:textId="77777777" w:rsidR="00374C65" w:rsidRDefault="00374C65" w:rsidP="009212AB">
            <w:pPr>
              <w:tabs>
                <w:tab w:val="center" w:pos="4680"/>
              </w:tabs>
              <w:rPr>
                <w:b/>
                <w:sz w:val="22"/>
                <w:szCs w:val="22"/>
              </w:rPr>
            </w:pPr>
          </w:p>
          <w:p w14:paraId="1EAB88AF" w14:textId="77777777" w:rsidR="00374C65" w:rsidRDefault="00374C65" w:rsidP="009212AB">
            <w:pPr>
              <w:tabs>
                <w:tab w:val="center" w:pos="4680"/>
              </w:tabs>
              <w:rPr>
                <w:b/>
                <w:sz w:val="22"/>
                <w:szCs w:val="22"/>
              </w:rPr>
            </w:pPr>
            <w:r>
              <w:rPr>
                <w:b/>
                <w:sz w:val="22"/>
                <w:szCs w:val="22"/>
              </w:rPr>
              <w:t xml:space="preserve">              Defendants.</w:t>
            </w:r>
          </w:p>
          <w:p w14:paraId="35A7751F" w14:textId="77777777" w:rsidR="00374C65" w:rsidRDefault="00374C65" w:rsidP="009212AB">
            <w:pPr>
              <w:tabs>
                <w:tab w:val="center" w:pos="4680"/>
              </w:tabs>
              <w:rPr>
                <w:b/>
                <w:sz w:val="22"/>
                <w:szCs w:val="22"/>
              </w:rPr>
            </w:pPr>
          </w:p>
          <w:p w14:paraId="7444EE0A" w14:textId="77777777" w:rsidR="00374C65" w:rsidRPr="0005371E" w:rsidRDefault="00374C65" w:rsidP="009212AB">
            <w:pPr>
              <w:tabs>
                <w:tab w:val="center" w:pos="4680"/>
              </w:tabs>
              <w:rPr>
                <w:b/>
                <w:sz w:val="22"/>
                <w:szCs w:val="22"/>
              </w:rPr>
            </w:pPr>
          </w:p>
        </w:tc>
        <w:tc>
          <w:tcPr>
            <w:tcW w:w="270" w:type="dxa"/>
            <w:shd w:val="clear" w:color="auto" w:fill="auto"/>
          </w:tcPr>
          <w:p w14:paraId="136CF64A" w14:textId="77777777" w:rsidR="00477A6E" w:rsidRPr="0005371E" w:rsidRDefault="00477A6E" w:rsidP="009212AB">
            <w:pPr>
              <w:tabs>
                <w:tab w:val="center" w:pos="4680"/>
              </w:tabs>
              <w:jc w:val="both"/>
              <w:rPr>
                <w:sz w:val="22"/>
                <w:szCs w:val="22"/>
              </w:rPr>
            </w:pPr>
            <w:r w:rsidRPr="0005371E">
              <w:rPr>
                <w:sz w:val="22"/>
                <w:szCs w:val="22"/>
              </w:rPr>
              <w:t>)</w:t>
            </w:r>
          </w:p>
          <w:p w14:paraId="563123B6" w14:textId="77777777" w:rsidR="00477A6E" w:rsidRPr="0005371E" w:rsidRDefault="00477A6E" w:rsidP="009212AB">
            <w:pPr>
              <w:tabs>
                <w:tab w:val="center" w:pos="4680"/>
              </w:tabs>
              <w:jc w:val="both"/>
              <w:rPr>
                <w:sz w:val="22"/>
                <w:szCs w:val="22"/>
              </w:rPr>
            </w:pPr>
            <w:r w:rsidRPr="0005371E">
              <w:rPr>
                <w:sz w:val="22"/>
                <w:szCs w:val="22"/>
              </w:rPr>
              <w:t>)</w:t>
            </w:r>
          </w:p>
          <w:p w14:paraId="3633EB1D" w14:textId="77777777" w:rsidR="00477A6E" w:rsidRPr="0005371E" w:rsidRDefault="00477A6E" w:rsidP="009212AB">
            <w:pPr>
              <w:tabs>
                <w:tab w:val="center" w:pos="4680"/>
              </w:tabs>
              <w:jc w:val="both"/>
              <w:rPr>
                <w:sz w:val="22"/>
                <w:szCs w:val="22"/>
              </w:rPr>
            </w:pPr>
            <w:r w:rsidRPr="0005371E">
              <w:rPr>
                <w:sz w:val="22"/>
                <w:szCs w:val="22"/>
              </w:rPr>
              <w:t>)</w:t>
            </w:r>
          </w:p>
          <w:p w14:paraId="00CF83E4" w14:textId="77777777" w:rsidR="00477A6E" w:rsidRPr="0005371E" w:rsidRDefault="00477A6E" w:rsidP="009212AB">
            <w:pPr>
              <w:tabs>
                <w:tab w:val="center" w:pos="4680"/>
              </w:tabs>
              <w:jc w:val="both"/>
              <w:rPr>
                <w:sz w:val="22"/>
                <w:szCs w:val="22"/>
              </w:rPr>
            </w:pPr>
            <w:r w:rsidRPr="0005371E">
              <w:rPr>
                <w:sz w:val="22"/>
                <w:szCs w:val="22"/>
              </w:rPr>
              <w:t>)</w:t>
            </w:r>
          </w:p>
          <w:p w14:paraId="340378D4" w14:textId="77777777" w:rsidR="00477A6E" w:rsidRPr="0005371E" w:rsidRDefault="00477A6E" w:rsidP="009212AB">
            <w:pPr>
              <w:tabs>
                <w:tab w:val="center" w:pos="4680"/>
              </w:tabs>
              <w:jc w:val="both"/>
              <w:rPr>
                <w:sz w:val="22"/>
                <w:szCs w:val="22"/>
              </w:rPr>
            </w:pPr>
            <w:r w:rsidRPr="0005371E">
              <w:rPr>
                <w:sz w:val="22"/>
                <w:szCs w:val="22"/>
              </w:rPr>
              <w:t>)</w:t>
            </w:r>
          </w:p>
          <w:p w14:paraId="043F1CEF" w14:textId="77777777" w:rsidR="00477A6E" w:rsidRPr="0005371E" w:rsidRDefault="00477A6E" w:rsidP="009212AB">
            <w:pPr>
              <w:tabs>
                <w:tab w:val="center" w:pos="4680"/>
              </w:tabs>
              <w:jc w:val="both"/>
              <w:rPr>
                <w:sz w:val="22"/>
                <w:szCs w:val="22"/>
              </w:rPr>
            </w:pPr>
            <w:r w:rsidRPr="0005371E">
              <w:rPr>
                <w:sz w:val="22"/>
                <w:szCs w:val="22"/>
              </w:rPr>
              <w:t>)</w:t>
            </w:r>
          </w:p>
          <w:p w14:paraId="0445B97C" w14:textId="77777777" w:rsidR="00477A6E" w:rsidRPr="0005371E" w:rsidRDefault="00477A6E" w:rsidP="009212AB">
            <w:pPr>
              <w:tabs>
                <w:tab w:val="center" w:pos="4680"/>
              </w:tabs>
              <w:jc w:val="both"/>
              <w:rPr>
                <w:sz w:val="22"/>
                <w:szCs w:val="22"/>
              </w:rPr>
            </w:pPr>
            <w:r w:rsidRPr="0005371E">
              <w:rPr>
                <w:sz w:val="22"/>
                <w:szCs w:val="22"/>
              </w:rPr>
              <w:t>)</w:t>
            </w:r>
          </w:p>
          <w:p w14:paraId="01E96BCE" w14:textId="77777777" w:rsidR="00477A6E" w:rsidRPr="0005371E" w:rsidRDefault="00477A6E" w:rsidP="009212AB">
            <w:pPr>
              <w:tabs>
                <w:tab w:val="center" w:pos="4680"/>
              </w:tabs>
              <w:jc w:val="both"/>
              <w:rPr>
                <w:sz w:val="22"/>
                <w:szCs w:val="22"/>
              </w:rPr>
            </w:pPr>
            <w:r w:rsidRPr="0005371E">
              <w:rPr>
                <w:sz w:val="22"/>
                <w:szCs w:val="22"/>
              </w:rPr>
              <w:t>)</w:t>
            </w:r>
          </w:p>
          <w:p w14:paraId="72D97DEF" w14:textId="77777777" w:rsidR="00477A6E" w:rsidRPr="0005371E" w:rsidRDefault="00477A6E" w:rsidP="009212AB">
            <w:pPr>
              <w:tabs>
                <w:tab w:val="center" w:pos="4680"/>
              </w:tabs>
              <w:jc w:val="both"/>
              <w:rPr>
                <w:sz w:val="22"/>
                <w:szCs w:val="22"/>
              </w:rPr>
            </w:pPr>
            <w:r w:rsidRPr="0005371E">
              <w:rPr>
                <w:sz w:val="22"/>
                <w:szCs w:val="22"/>
              </w:rPr>
              <w:t>)</w:t>
            </w:r>
          </w:p>
          <w:p w14:paraId="1CC135F3" w14:textId="77777777" w:rsidR="00477A6E" w:rsidRPr="0005371E" w:rsidRDefault="00477A6E" w:rsidP="009212AB">
            <w:pPr>
              <w:tabs>
                <w:tab w:val="center" w:pos="4680"/>
              </w:tabs>
              <w:jc w:val="both"/>
              <w:rPr>
                <w:sz w:val="22"/>
                <w:szCs w:val="22"/>
              </w:rPr>
            </w:pPr>
            <w:r w:rsidRPr="0005371E">
              <w:rPr>
                <w:sz w:val="22"/>
                <w:szCs w:val="22"/>
              </w:rPr>
              <w:t>)</w:t>
            </w:r>
          </w:p>
          <w:p w14:paraId="3B3F5E4E" w14:textId="77777777" w:rsidR="00477A6E" w:rsidRPr="0005371E" w:rsidRDefault="00477A6E" w:rsidP="009212AB">
            <w:pPr>
              <w:tabs>
                <w:tab w:val="center" w:pos="4680"/>
              </w:tabs>
              <w:jc w:val="both"/>
              <w:rPr>
                <w:sz w:val="22"/>
                <w:szCs w:val="22"/>
              </w:rPr>
            </w:pPr>
            <w:r w:rsidRPr="0005371E">
              <w:rPr>
                <w:sz w:val="22"/>
                <w:szCs w:val="22"/>
              </w:rPr>
              <w:t>)</w:t>
            </w:r>
          </w:p>
          <w:p w14:paraId="0911A491" w14:textId="77777777" w:rsidR="00477A6E" w:rsidRPr="0005371E" w:rsidRDefault="00477A6E" w:rsidP="009212AB">
            <w:pPr>
              <w:tabs>
                <w:tab w:val="center" w:pos="4680"/>
              </w:tabs>
              <w:jc w:val="both"/>
              <w:rPr>
                <w:sz w:val="22"/>
                <w:szCs w:val="22"/>
              </w:rPr>
            </w:pPr>
          </w:p>
        </w:tc>
        <w:tc>
          <w:tcPr>
            <w:tcW w:w="4158" w:type="dxa"/>
            <w:shd w:val="clear" w:color="auto" w:fill="auto"/>
          </w:tcPr>
          <w:p w14:paraId="04E2F412" w14:textId="77777777" w:rsidR="00477A6E" w:rsidRPr="0005371E" w:rsidRDefault="00477A6E" w:rsidP="009212AB">
            <w:pPr>
              <w:tabs>
                <w:tab w:val="center" w:pos="4680"/>
              </w:tabs>
              <w:rPr>
                <w:b/>
                <w:sz w:val="22"/>
                <w:szCs w:val="22"/>
              </w:rPr>
            </w:pPr>
          </w:p>
        </w:tc>
      </w:tr>
      <w:tr w:rsidR="00477A6E" w:rsidRPr="0005371E" w14:paraId="4B8274C6" w14:textId="77777777" w:rsidTr="009212AB">
        <w:tc>
          <w:tcPr>
            <w:tcW w:w="5148" w:type="dxa"/>
            <w:shd w:val="clear" w:color="auto" w:fill="auto"/>
          </w:tcPr>
          <w:p w14:paraId="270B450D" w14:textId="77777777" w:rsidR="00477A6E" w:rsidRPr="0005371E" w:rsidRDefault="00477A6E" w:rsidP="009212AB">
            <w:pPr>
              <w:tabs>
                <w:tab w:val="center" w:pos="4680"/>
              </w:tabs>
              <w:rPr>
                <w:b/>
                <w:sz w:val="22"/>
                <w:szCs w:val="22"/>
              </w:rPr>
            </w:pPr>
          </w:p>
        </w:tc>
        <w:tc>
          <w:tcPr>
            <w:tcW w:w="270" w:type="dxa"/>
            <w:shd w:val="clear" w:color="auto" w:fill="auto"/>
          </w:tcPr>
          <w:p w14:paraId="7664D83D" w14:textId="77777777" w:rsidR="00477A6E" w:rsidRPr="0005371E" w:rsidRDefault="00477A6E" w:rsidP="009212AB">
            <w:pPr>
              <w:tabs>
                <w:tab w:val="center" w:pos="4680"/>
              </w:tabs>
              <w:jc w:val="both"/>
              <w:rPr>
                <w:sz w:val="22"/>
                <w:szCs w:val="22"/>
              </w:rPr>
            </w:pPr>
          </w:p>
        </w:tc>
        <w:tc>
          <w:tcPr>
            <w:tcW w:w="4158" w:type="dxa"/>
            <w:shd w:val="clear" w:color="auto" w:fill="auto"/>
          </w:tcPr>
          <w:p w14:paraId="15C8982B" w14:textId="77777777" w:rsidR="00477A6E" w:rsidRPr="0005371E" w:rsidRDefault="00477A6E" w:rsidP="009212AB">
            <w:pPr>
              <w:tabs>
                <w:tab w:val="center" w:pos="4680"/>
              </w:tabs>
              <w:rPr>
                <w:b/>
                <w:sz w:val="22"/>
                <w:szCs w:val="22"/>
              </w:rPr>
            </w:pPr>
          </w:p>
        </w:tc>
      </w:tr>
      <w:tr w:rsidR="00477A6E" w:rsidRPr="0005371E" w14:paraId="6F6137B5" w14:textId="77777777" w:rsidTr="009212AB">
        <w:tc>
          <w:tcPr>
            <w:tcW w:w="5148" w:type="dxa"/>
            <w:shd w:val="clear" w:color="auto" w:fill="auto"/>
          </w:tcPr>
          <w:p w14:paraId="66C6B0E3" w14:textId="77777777" w:rsidR="00477A6E" w:rsidRPr="0005371E" w:rsidRDefault="00477A6E" w:rsidP="009212AB">
            <w:pPr>
              <w:rPr>
                <w:b/>
                <w:sz w:val="22"/>
                <w:szCs w:val="22"/>
              </w:rPr>
            </w:pPr>
          </w:p>
        </w:tc>
        <w:tc>
          <w:tcPr>
            <w:tcW w:w="270" w:type="dxa"/>
            <w:shd w:val="clear" w:color="auto" w:fill="auto"/>
          </w:tcPr>
          <w:p w14:paraId="6F7CCFF3" w14:textId="77777777" w:rsidR="00477A6E" w:rsidRPr="0005371E" w:rsidRDefault="00477A6E" w:rsidP="009212AB">
            <w:pPr>
              <w:tabs>
                <w:tab w:val="center" w:pos="4680"/>
              </w:tabs>
              <w:jc w:val="both"/>
              <w:rPr>
                <w:sz w:val="22"/>
                <w:szCs w:val="22"/>
              </w:rPr>
            </w:pPr>
          </w:p>
        </w:tc>
        <w:tc>
          <w:tcPr>
            <w:tcW w:w="4158" w:type="dxa"/>
            <w:shd w:val="clear" w:color="auto" w:fill="auto"/>
          </w:tcPr>
          <w:p w14:paraId="2242952A" w14:textId="77777777" w:rsidR="00477A6E" w:rsidRPr="0005371E" w:rsidRDefault="00477A6E" w:rsidP="009212AB">
            <w:pPr>
              <w:tabs>
                <w:tab w:val="center" w:pos="4680"/>
              </w:tabs>
              <w:rPr>
                <w:b/>
                <w:sz w:val="22"/>
                <w:szCs w:val="22"/>
              </w:rPr>
            </w:pPr>
          </w:p>
        </w:tc>
      </w:tr>
    </w:tbl>
    <w:p w14:paraId="7FA31795" w14:textId="77777777" w:rsidR="00477A6E" w:rsidRDefault="00477A6E" w:rsidP="00477A6E">
      <w:pPr>
        <w:jc w:val="center"/>
        <w:rPr>
          <w:b/>
          <w:u w:val="single"/>
        </w:rPr>
      </w:pPr>
      <w:r w:rsidRPr="00E15CBA">
        <w:rPr>
          <w:b/>
        </w:rPr>
        <w:t xml:space="preserve">COMPLAINT </w:t>
      </w:r>
      <w:r w:rsidR="00E15CBA" w:rsidRPr="00E15CBA">
        <w:rPr>
          <w:b/>
        </w:rPr>
        <w:t xml:space="preserve">FOR </w:t>
      </w:r>
      <w:r w:rsidR="009F304F">
        <w:rPr>
          <w:b/>
        </w:rPr>
        <w:t xml:space="preserve">EMERGENCY </w:t>
      </w:r>
      <w:r w:rsidR="00E15CBA" w:rsidRPr="00E15CBA">
        <w:rPr>
          <w:b/>
        </w:rPr>
        <w:t xml:space="preserve">TEMPORARY </w:t>
      </w:r>
      <w:r w:rsidR="00D4792F">
        <w:rPr>
          <w:b/>
        </w:rPr>
        <w:t>RESTRAINING ORDER</w:t>
      </w:r>
      <w:r w:rsidR="009F304F">
        <w:rPr>
          <w:b/>
        </w:rPr>
        <w:t>,</w:t>
      </w:r>
      <w:r w:rsidR="00D4792F">
        <w:rPr>
          <w:b/>
        </w:rPr>
        <w:t xml:space="preserve"> </w:t>
      </w:r>
      <w:r w:rsidR="00D4792F" w:rsidRPr="00D4792F">
        <w:rPr>
          <w:b/>
          <w:u w:val="single"/>
        </w:rPr>
        <w:t>TEMPORARY AND</w:t>
      </w:r>
      <w:r w:rsidR="009F304F" w:rsidRPr="00D4792F">
        <w:rPr>
          <w:b/>
          <w:u w:val="single"/>
        </w:rPr>
        <w:t xml:space="preserve"> </w:t>
      </w:r>
      <w:r w:rsidR="00E15CBA" w:rsidRPr="00D4792F">
        <w:rPr>
          <w:b/>
          <w:u w:val="single"/>
        </w:rPr>
        <w:t>PERMANENT INJUNCTION</w:t>
      </w:r>
      <w:r w:rsidR="009F304F" w:rsidRPr="009F304F">
        <w:rPr>
          <w:b/>
          <w:u w:val="single"/>
        </w:rPr>
        <w:t>,</w:t>
      </w:r>
      <w:r w:rsidR="00E15CBA" w:rsidRPr="009F304F">
        <w:rPr>
          <w:b/>
          <w:u w:val="single"/>
        </w:rPr>
        <w:t xml:space="preserve"> AND</w:t>
      </w:r>
      <w:r w:rsidR="00E15CBA">
        <w:rPr>
          <w:b/>
          <w:u w:val="single"/>
        </w:rPr>
        <w:t xml:space="preserve"> TO ABATE NUISANCE</w:t>
      </w:r>
    </w:p>
    <w:p w14:paraId="2ECCA0A6" w14:textId="77777777" w:rsidR="00477A6E" w:rsidRDefault="00477A6E" w:rsidP="00477A6E">
      <w:pPr>
        <w:jc w:val="center"/>
        <w:rPr>
          <w:b/>
          <w:u w:val="single"/>
        </w:rPr>
      </w:pPr>
    </w:p>
    <w:p w14:paraId="7B3BBAF8" w14:textId="77777777" w:rsidR="00477A6E" w:rsidRDefault="00477A6E" w:rsidP="00477A6E">
      <w:pPr>
        <w:spacing w:line="480" w:lineRule="auto"/>
        <w:jc w:val="both"/>
      </w:pPr>
      <w:r>
        <w:tab/>
        <w:t>COMES NOW, Plaintiff City of Sandy Springs, Georgia</w:t>
      </w:r>
      <w:r w:rsidR="008B0C38">
        <w:t xml:space="preserve"> (the “City”)</w:t>
      </w:r>
      <w:r>
        <w:t xml:space="preserve">, </w:t>
      </w:r>
      <w:r w:rsidR="008B0C38">
        <w:t>by way of City Attorney Daniel Lee</w:t>
      </w:r>
      <w:r w:rsidR="00C5720F">
        <w:t xml:space="preserve"> pursuant to O.C.G.A. § 41-2-2</w:t>
      </w:r>
      <w:r w:rsidR="008B0C38">
        <w:t xml:space="preserve">, </w:t>
      </w:r>
      <w:r>
        <w:t xml:space="preserve">and submits this Complaint </w:t>
      </w:r>
      <w:proofErr w:type="gramStart"/>
      <w:r>
        <w:t>For</w:t>
      </w:r>
      <w:proofErr w:type="gramEnd"/>
      <w:r w:rsidR="002441D4">
        <w:t xml:space="preserve"> Emergency Temporary Restraining Order,</w:t>
      </w:r>
      <w:r>
        <w:t xml:space="preserve"> Temporary and Permanent Injunction</w:t>
      </w:r>
      <w:r w:rsidR="002441D4">
        <w:t>,</w:t>
      </w:r>
      <w:r w:rsidR="00E15CBA">
        <w:t xml:space="preserve"> and To Abate Nuisance </w:t>
      </w:r>
      <w:r>
        <w:t>against Defendant</w:t>
      </w:r>
      <w:r w:rsidR="00145280">
        <w:t xml:space="preserve"> Javier McIntosh,</w:t>
      </w:r>
      <w:r w:rsidR="008B0C38">
        <w:t xml:space="preserve"> Defendant Michael A. Revell, II,</w:t>
      </w:r>
      <w:r w:rsidR="00145280">
        <w:t xml:space="preserve"> Defendant </w:t>
      </w:r>
      <w:proofErr w:type="spellStart"/>
      <w:r w:rsidR="00145280">
        <w:t>Jabriel</w:t>
      </w:r>
      <w:proofErr w:type="spellEnd"/>
      <w:r w:rsidR="00145280">
        <w:t xml:space="preserve"> McIntosh, and Defendant Eric McIntosh </w:t>
      </w:r>
      <w:r w:rsidR="008B0C38">
        <w:t>(collectively “Defendants”)</w:t>
      </w:r>
      <w:r>
        <w:t xml:space="preserve">.  The </w:t>
      </w:r>
      <w:proofErr w:type="gramStart"/>
      <w:r>
        <w:t>City</w:t>
      </w:r>
      <w:proofErr w:type="gramEnd"/>
      <w:r>
        <w:t xml:space="preserve"> seeks </w:t>
      </w:r>
      <w:r w:rsidR="00322F22" w:rsidRPr="00322F22">
        <w:t>temporary and permanent injunctive relief</w:t>
      </w:r>
      <w:r w:rsidR="00322F22">
        <w:t>,</w:t>
      </w:r>
      <w:r w:rsidR="00322F22" w:rsidRPr="00322F22">
        <w:t xml:space="preserve"> </w:t>
      </w:r>
      <w:r w:rsidR="00322F22">
        <w:t>and to abate the nuisance,</w:t>
      </w:r>
      <w:r w:rsidR="00734FB9">
        <w:t xml:space="preserve"> </w:t>
      </w:r>
      <w:r>
        <w:t xml:space="preserve">prohibiting Defendant from engaging in commercial activity in violation of the City’s zoning ordinance and constituting a </w:t>
      </w:r>
      <w:r w:rsidR="002441D4">
        <w:t xml:space="preserve">public </w:t>
      </w:r>
      <w:r>
        <w:t>nuisance.</w:t>
      </w:r>
    </w:p>
    <w:p w14:paraId="3D80C4EA" w14:textId="77777777" w:rsidR="00477A6E" w:rsidRDefault="00477A6E" w:rsidP="00477A6E">
      <w:pPr>
        <w:spacing w:line="480" w:lineRule="auto"/>
        <w:jc w:val="center"/>
        <w:rPr>
          <w:b/>
          <w:u w:val="single"/>
        </w:rPr>
      </w:pPr>
      <w:r>
        <w:rPr>
          <w:b/>
          <w:u w:val="single"/>
        </w:rPr>
        <w:t>Parties</w:t>
      </w:r>
    </w:p>
    <w:p w14:paraId="100F1290" w14:textId="77777777" w:rsidR="00477A6E" w:rsidRDefault="00477A6E" w:rsidP="00477A6E">
      <w:pPr>
        <w:spacing w:line="480" w:lineRule="auto"/>
        <w:jc w:val="center"/>
      </w:pPr>
      <w:r>
        <w:t>1.</w:t>
      </w:r>
    </w:p>
    <w:p w14:paraId="2D47D1B7" w14:textId="77777777" w:rsidR="00477A6E" w:rsidRDefault="00477A6E" w:rsidP="00477A6E">
      <w:pPr>
        <w:spacing w:line="480" w:lineRule="auto"/>
        <w:jc w:val="both"/>
      </w:pPr>
      <w:r>
        <w:tab/>
        <w:t>Plaintiff City of Sandy Springs, Georgia is a political subdivision of the State of Georgia and has the capacity to sue and be sued.</w:t>
      </w:r>
    </w:p>
    <w:p w14:paraId="3745242F" w14:textId="77777777" w:rsidR="00477A6E" w:rsidRDefault="00477A6E" w:rsidP="00477A6E">
      <w:pPr>
        <w:spacing w:line="480" w:lineRule="auto"/>
        <w:jc w:val="center"/>
      </w:pPr>
      <w:r>
        <w:lastRenderedPageBreak/>
        <w:t>2.</w:t>
      </w:r>
    </w:p>
    <w:p w14:paraId="7289FC95" w14:textId="77777777" w:rsidR="008B0C38" w:rsidRDefault="00477A6E" w:rsidP="00477A6E">
      <w:pPr>
        <w:spacing w:line="480" w:lineRule="auto"/>
        <w:jc w:val="both"/>
      </w:pPr>
      <w:r>
        <w:tab/>
        <w:t>Defendant</w:t>
      </w:r>
      <w:r w:rsidR="002233A0">
        <w:t xml:space="preserve"> </w:t>
      </w:r>
      <w:r w:rsidR="002233A0" w:rsidRPr="002233A0">
        <w:t>Javier McIntosh</w:t>
      </w:r>
      <w:r w:rsidR="002233A0">
        <w:t xml:space="preserve"> is an</w:t>
      </w:r>
      <w:r>
        <w:t xml:space="preserve"> </w:t>
      </w:r>
      <w:r w:rsidR="008B0C38">
        <w:t>individual</w:t>
      </w:r>
      <w:r>
        <w:t xml:space="preserve"> </w:t>
      </w:r>
      <w:r w:rsidR="00E15CBA">
        <w:t xml:space="preserve">and an owner of </w:t>
      </w:r>
      <w:r w:rsidR="008B0C38">
        <w:t>5785 Northside Drive, Sandy Springs, Fulton County</w:t>
      </w:r>
      <w:r w:rsidR="00E15CBA">
        <w:t>,</w:t>
      </w:r>
      <w:r w:rsidR="008B0C38">
        <w:t xml:space="preserve"> Georgia</w:t>
      </w:r>
      <w:r w:rsidR="00E15CBA">
        <w:t xml:space="preserve"> </w:t>
      </w:r>
      <w:r w:rsidR="00E15CBA" w:rsidRPr="00E15CBA">
        <w:t>(the “subject property”</w:t>
      </w:r>
      <w:r w:rsidR="00E94370">
        <w:t xml:space="preserve"> and advertised as “The Manor ATL”</w:t>
      </w:r>
      <w:r w:rsidR="00E15CBA" w:rsidRPr="00E15CBA">
        <w:t>)</w:t>
      </w:r>
      <w:r w:rsidR="00145280">
        <w:t xml:space="preserve"> and is engaged in the commercial use of the subject property</w:t>
      </w:r>
      <w:r w:rsidR="00E15CBA" w:rsidRPr="00E15CBA">
        <w:t>.</w:t>
      </w:r>
    </w:p>
    <w:p w14:paraId="32ABD458" w14:textId="77777777" w:rsidR="00E15CBA" w:rsidRDefault="00E15CBA" w:rsidP="00E15CBA">
      <w:pPr>
        <w:spacing w:line="480" w:lineRule="auto"/>
        <w:jc w:val="center"/>
      </w:pPr>
      <w:r>
        <w:t>3.</w:t>
      </w:r>
    </w:p>
    <w:p w14:paraId="04FE0352" w14:textId="77777777" w:rsidR="008B0C38" w:rsidRDefault="008B0C38" w:rsidP="00477A6E">
      <w:pPr>
        <w:spacing w:line="480" w:lineRule="auto"/>
        <w:jc w:val="both"/>
      </w:pPr>
      <w:r>
        <w:tab/>
        <w:t>Defendant</w:t>
      </w:r>
      <w:r w:rsidR="00E15CBA">
        <w:t xml:space="preserve"> </w:t>
      </w:r>
      <w:r w:rsidR="00E15CBA" w:rsidRPr="00E15CBA">
        <w:t>Michael A. Revell, II</w:t>
      </w:r>
      <w:r w:rsidR="00E15CBA">
        <w:t xml:space="preserve"> is an individual and</w:t>
      </w:r>
      <w:r>
        <w:t xml:space="preserve"> own</w:t>
      </w:r>
      <w:r w:rsidR="00E15CBA">
        <w:t>er of</w:t>
      </w:r>
      <w:r>
        <w:t xml:space="preserve"> the</w:t>
      </w:r>
      <w:r w:rsidR="00322F22">
        <w:t xml:space="preserve"> subject</w:t>
      </w:r>
      <w:r>
        <w:t xml:space="preserve"> property</w:t>
      </w:r>
      <w:r w:rsidR="00322F22">
        <w:t>.</w:t>
      </w:r>
      <w:r>
        <w:t xml:space="preserve"> </w:t>
      </w:r>
    </w:p>
    <w:p w14:paraId="1FD221FB" w14:textId="77777777" w:rsidR="00145280" w:rsidRDefault="00145280" w:rsidP="00145280">
      <w:pPr>
        <w:spacing w:line="480" w:lineRule="auto"/>
        <w:jc w:val="center"/>
      </w:pPr>
      <w:r>
        <w:t>4.</w:t>
      </w:r>
    </w:p>
    <w:p w14:paraId="5B6E4EB5" w14:textId="77777777" w:rsidR="00145280" w:rsidRDefault="00145280" w:rsidP="00145280">
      <w:pPr>
        <w:spacing w:line="480" w:lineRule="auto"/>
        <w:jc w:val="both"/>
      </w:pPr>
      <w:r>
        <w:tab/>
      </w:r>
      <w:r w:rsidRPr="00145280">
        <w:t xml:space="preserve">Defendant </w:t>
      </w:r>
      <w:proofErr w:type="spellStart"/>
      <w:r>
        <w:t>Jabriel</w:t>
      </w:r>
      <w:proofErr w:type="spellEnd"/>
      <w:r w:rsidRPr="00145280">
        <w:t xml:space="preserve"> McIntosh is an individual engaged in the commercial use of the subject property</w:t>
      </w:r>
      <w:r>
        <w:t>.</w:t>
      </w:r>
    </w:p>
    <w:p w14:paraId="31CE5C42" w14:textId="77777777" w:rsidR="00145280" w:rsidRDefault="00145280" w:rsidP="00145280">
      <w:pPr>
        <w:spacing w:line="480" w:lineRule="auto"/>
        <w:jc w:val="center"/>
      </w:pPr>
      <w:r>
        <w:t>5.</w:t>
      </w:r>
    </w:p>
    <w:p w14:paraId="54B61609" w14:textId="77777777" w:rsidR="00145280" w:rsidRPr="00145280" w:rsidRDefault="00145280" w:rsidP="00145280">
      <w:pPr>
        <w:spacing w:line="480" w:lineRule="auto"/>
        <w:jc w:val="both"/>
      </w:pPr>
      <w:r>
        <w:tab/>
      </w:r>
      <w:r w:rsidRPr="00145280">
        <w:t xml:space="preserve">Defendant </w:t>
      </w:r>
      <w:r w:rsidR="00361B31">
        <w:t>Eric</w:t>
      </w:r>
      <w:r w:rsidRPr="00145280">
        <w:t xml:space="preserve"> McIntosh is an individual engaged in the commercial use of the subject property.</w:t>
      </w:r>
    </w:p>
    <w:p w14:paraId="68782ABD" w14:textId="77777777" w:rsidR="003A7932" w:rsidRDefault="003A7932" w:rsidP="003A7932">
      <w:pPr>
        <w:spacing w:line="480" w:lineRule="auto"/>
        <w:jc w:val="center"/>
        <w:rPr>
          <w:b/>
          <w:u w:val="single"/>
        </w:rPr>
      </w:pPr>
      <w:r>
        <w:rPr>
          <w:b/>
          <w:u w:val="single"/>
        </w:rPr>
        <w:t>Jurisdiction and Venue</w:t>
      </w:r>
    </w:p>
    <w:p w14:paraId="650C7BD6" w14:textId="77777777" w:rsidR="003A7932" w:rsidRDefault="00361B31" w:rsidP="003A7932">
      <w:pPr>
        <w:spacing w:line="480" w:lineRule="auto"/>
        <w:jc w:val="center"/>
      </w:pPr>
      <w:r>
        <w:t>6</w:t>
      </w:r>
      <w:r w:rsidR="003A7932">
        <w:t>.</w:t>
      </w:r>
    </w:p>
    <w:p w14:paraId="2AF79F27" w14:textId="77777777" w:rsidR="009726F4" w:rsidRDefault="003A7932" w:rsidP="003A7932">
      <w:pPr>
        <w:spacing w:line="480" w:lineRule="auto"/>
        <w:jc w:val="both"/>
      </w:pPr>
      <w:r>
        <w:tab/>
      </w:r>
      <w:r w:rsidR="009726F4">
        <w:t>The City he</w:t>
      </w:r>
      <w:r w:rsidR="00145280">
        <w:t>reby incorporates paragraphs 1-5</w:t>
      </w:r>
      <w:r w:rsidR="009726F4">
        <w:t xml:space="preserve"> as if set forth fully herein.</w:t>
      </w:r>
    </w:p>
    <w:p w14:paraId="78A16FE9" w14:textId="77777777" w:rsidR="009726F4" w:rsidRDefault="00361B31" w:rsidP="009726F4">
      <w:pPr>
        <w:spacing w:line="480" w:lineRule="auto"/>
        <w:jc w:val="center"/>
      </w:pPr>
      <w:r>
        <w:t>7</w:t>
      </w:r>
      <w:r w:rsidR="009726F4">
        <w:t>.</w:t>
      </w:r>
    </w:p>
    <w:p w14:paraId="644F2831" w14:textId="77777777" w:rsidR="008B0C38" w:rsidRDefault="009726F4" w:rsidP="003A7932">
      <w:pPr>
        <w:spacing w:line="480" w:lineRule="auto"/>
        <w:jc w:val="both"/>
      </w:pPr>
      <w:r>
        <w:tab/>
      </w:r>
      <w:r w:rsidR="008B0C38" w:rsidRPr="008B0C38">
        <w:t xml:space="preserve">This Court has </w:t>
      </w:r>
      <w:r w:rsidR="00E15CBA">
        <w:t xml:space="preserve">jurisdiction over this action requesting </w:t>
      </w:r>
      <w:r w:rsidR="008B0C38" w:rsidRPr="008B0C38">
        <w:t>injunctive relief pursuant to Ga. Const. 1983, Art. VI, § 1, P</w:t>
      </w:r>
      <w:r w:rsidR="00E15CBA">
        <w:t>ara.</w:t>
      </w:r>
      <w:r w:rsidR="008B0C38" w:rsidRPr="008B0C38">
        <w:t xml:space="preserve"> IV; O.C.G.A. § 9-5-1 et. seq.; and O.C.G.A. § 9-11-65.</w:t>
      </w:r>
    </w:p>
    <w:p w14:paraId="4BC5C507" w14:textId="77777777" w:rsidR="008B0C38" w:rsidRDefault="00361B31" w:rsidP="00E15CBA">
      <w:pPr>
        <w:spacing w:line="480" w:lineRule="auto"/>
        <w:jc w:val="center"/>
      </w:pPr>
      <w:r>
        <w:t>8</w:t>
      </w:r>
      <w:r w:rsidR="00E15CBA">
        <w:t>.</w:t>
      </w:r>
    </w:p>
    <w:p w14:paraId="7D248697" w14:textId="77777777" w:rsidR="003A7932" w:rsidRDefault="008B0C38" w:rsidP="003A7932">
      <w:pPr>
        <w:spacing w:line="480" w:lineRule="auto"/>
        <w:jc w:val="both"/>
      </w:pPr>
      <w:r>
        <w:tab/>
      </w:r>
      <w:r w:rsidR="003A7932">
        <w:t>This Court has j</w:t>
      </w:r>
      <w:r w:rsidR="00E15CBA">
        <w:t xml:space="preserve">urisdiction over this action requesting </w:t>
      </w:r>
      <w:r w:rsidR="003A7932">
        <w:t>abate</w:t>
      </w:r>
      <w:r>
        <w:t>me</w:t>
      </w:r>
      <w:r w:rsidR="00E15CBA">
        <w:t>nt</w:t>
      </w:r>
      <w:r w:rsidR="00734FB9">
        <w:t xml:space="preserve"> </w:t>
      </w:r>
      <w:r w:rsidR="00E15CBA">
        <w:t xml:space="preserve">of </w:t>
      </w:r>
      <w:r w:rsidR="003A7932">
        <w:t xml:space="preserve">a nuisance </w:t>
      </w:r>
      <w:r w:rsidR="00734FB9" w:rsidRPr="00734FB9">
        <w:t>pursuant to O.C.G.A. § 41-2-1 et. seq.</w:t>
      </w:r>
      <w:r w:rsidR="00734FB9">
        <w:tab/>
      </w:r>
    </w:p>
    <w:p w14:paraId="7D4C4204" w14:textId="77777777" w:rsidR="00361B31" w:rsidRDefault="00361B31" w:rsidP="003A7932">
      <w:pPr>
        <w:spacing w:line="480" w:lineRule="auto"/>
        <w:jc w:val="center"/>
      </w:pPr>
    </w:p>
    <w:p w14:paraId="718D9AB2" w14:textId="77777777" w:rsidR="00361B31" w:rsidRDefault="00361B31" w:rsidP="003A7932">
      <w:pPr>
        <w:spacing w:line="480" w:lineRule="auto"/>
        <w:jc w:val="center"/>
      </w:pPr>
    </w:p>
    <w:p w14:paraId="6074999F" w14:textId="77777777" w:rsidR="003A7932" w:rsidRDefault="00361B31" w:rsidP="003A7932">
      <w:pPr>
        <w:spacing w:line="480" w:lineRule="auto"/>
        <w:jc w:val="center"/>
      </w:pPr>
      <w:r>
        <w:lastRenderedPageBreak/>
        <w:t>9</w:t>
      </w:r>
      <w:r w:rsidR="003A7932">
        <w:t>.</w:t>
      </w:r>
    </w:p>
    <w:p w14:paraId="74364572" w14:textId="77777777" w:rsidR="003A7932" w:rsidRDefault="003A7932" w:rsidP="003A7932">
      <w:pPr>
        <w:spacing w:line="480" w:lineRule="auto"/>
        <w:jc w:val="both"/>
      </w:pPr>
      <w:r>
        <w:tab/>
        <w:t>Venue is proper in this Court because the acts complained of have occurred and are occurring in Fulton County.</w:t>
      </w:r>
    </w:p>
    <w:p w14:paraId="61131AB3" w14:textId="77777777" w:rsidR="003A7932" w:rsidRDefault="003A7932" w:rsidP="003A7932">
      <w:pPr>
        <w:spacing w:line="480" w:lineRule="auto"/>
        <w:jc w:val="center"/>
        <w:rPr>
          <w:b/>
          <w:u w:val="single"/>
        </w:rPr>
      </w:pPr>
      <w:r>
        <w:rPr>
          <w:b/>
          <w:u w:val="single"/>
        </w:rPr>
        <w:t>Facts</w:t>
      </w:r>
    </w:p>
    <w:p w14:paraId="34F441A2" w14:textId="77777777" w:rsidR="009726F4" w:rsidRDefault="00361B31" w:rsidP="009726F4">
      <w:pPr>
        <w:spacing w:line="480" w:lineRule="auto"/>
        <w:jc w:val="center"/>
      </w:pPr>
      <w:r>
        <w:t>10.</w:t>
      </w:r>
    </w:p>
    <w:p w14:paraId="1986C051" w14:textId="77777777" w:rsidR="009726F4" w:rsidRPr="009726F4" w:rsidRDefault="009726F4" w:rsidP="009726F4">
      <w:pPr>
        <w:spacing w:line="480" w:lineRule="auto"/>
        <w:jc w:val="both"/>
      </w:pPr>
      <w:r>
        <w:tab/>
      </w:r>
      <w:r w:rsidRPr="009726F4">
        <w:t xml:space="preserve">The City hereby incorporates paragraphs </w:t>
      </w:r>
      <w:r w:rsidR="00490DCC">
        <w:t>6-9</w:t>
      </w:r>
      <w:r w:rsidRPr="009726F4">
        <w:t xml:space="preserve"> as if set forth fully herein.</w:t>
      </w:r>
    </w:p>
    <w:p w14:paraId="618C9C72" w14:textId="77777777" w:rsidR="003A7932" w:rsidRDefault="00361B31" w:rsidP="003A7932">
      <w:pPr>
        <w:spacing w:line="480" w:lineRule="auto"/>
        <w:jc w:val="center"/>
      </w:pPr>
      <w:r>
        <w:t>11</w:t>
      </w:r>
      <w:r w:rsidR="003A7932">
        <w:t>.</w:t>
      </w:r>
    </w:p>
    <w:p w14:paraId="6A5AA404" w14:textId="77777777" w:rsidR="003A7932" w:rsidRDefault="003A7932" w:rsidP="003A7932">
      <w:pPr>
        <w:spacing w:line="480" w:lineRule="auto"/>
        <w:jc w:val="both"/>
      </w:pPr>
      <w:r>
        <w:tab/>
        <w:t xml:space="preserve">Article 7 of the City’s Development Code provides the allowed uses of property within the </w:t>
      </w:r>
      <w:r w:rsidR="00322F22">
        <w:t xml:space="preserve">City’s </w:t>
      </w:r>
      <w:r>
        <w:t>respective zoning districts.</w:t>
      </w:r>
    </w:p>
    <w:p w14:paraId="32532F28" w14:textId="77777777" w:rsidR="003A7932" w:rsidRDefault="00361B31" w:rsidP="003A7932">
      <w:pPr>
        <w:spacing w:line="480" w:lineRule="auto"/>
        <w:jc w:val="center"/>
      </w:pPr>
      <w:r>
        <w:t>12</w:t>
      </w:r>
      <w:r w:rsidR="003A7932">
        <w:t>.</w:t>
      </w:r>
    </w:p>
    <w:p w14:paraId="3C44D51E" w14:textId="77777777" w:rsidR="003A7932" w:rsidRDefault="003A7932" w:rsidP="003A7932">
      <w:pPr>
        <w:spacing w:line="480" w:lineRule="auto"/>
        <w:jc w:val="both"/>
      </w:pPr>
      <w:r>
        <w:tab/>
        <w:t xml:space="preserve">Division 7.2 of Article 7 of the City’s </w:t>
      </w:r>
      <w:r w:rsidR="00E94370">
        <w:t>Development Code precludes commercial u</w:t>
      </w:r>
      <w:r w:rsidR="00E15690">
        <w:t>ses on residentially zoned properties</w:t>
      </w:r>
      <w:r w:rsidR="00DC77B6">
        <w:t>, with certain exceptions</w:t>
      </w:r>
      <w:r w:rsidR="00E15690">
        <w:t>.</w:t>
      </w:r>
    </w:p>
    <w:p w14:paraId="37B0B398" w14:textId="77777777" w:rsidR="00E15690" w:rsidRDefault="00361B31" w:rsidP="00E15690">
      <w:pPr>
        <w:spacing w:line="480" w:lineRule="auto"/>
        <w:jc w:val="center"/>
      </w:pPr>
      <w:r>
        <w:t>13</w:t>
      </w:r>
      <w:r w:rsidR="00E15690">
        <w:t>.</w:t>
      </w:r>
    </w:p>
    <w:p w14:paraId="10E6A3F1" w14:textId="77777777" w:rsidR="00DC77B6" w:rsidRDefault="00DC77B6" w:rsidP="00DC77B6">
      <w:pPr>
        <w:spacing w:line="480" w:lineRule="auto"/>
        <w:jc w:val="both"/>
      </w:pPr>
      <w:r>
        <w:tab/>
        <w:t>Section 7.3.1 of the City’s Development Code provides certain exceptions for commercial use</w:t>
      </w:r>
      <w:r w:rsidR="00E94370">
        <w:t>s</w:t>
      </w:r>
      <w:r>
        <w:t xml:space="preserve"> of residentially zoned properties.</w:t>
      </w:r>
    </w:p>
    <w:p w14:paraId="7B2C003B" w14:textId="77777777" w:rsidR="00E15CBA" w:rsidRDefault="00361B31" w:rsidP="00E15CBA">
      <w:pPr>
        <w:spacing w:line="480" w:lineRule="auto"/>
        <w:jc w:val="center"/>
      </w:pPr>
      <w:r>
        <w:t>14</w:t>
      </w:r>
      <w:r w:rsidR="00E15CBA">
        <w:t>.</w:t>
      </w:r>
    </w:p>
    <w:p w14:paraId="6211D3AA" w14:textId="77777777" w:rsidR="00BD6725" w:rsidRDefault="00DC77B6" w:rsidP="00DC77B6">
      <w:pPr>
        <w:spacing w:line="480" w:lineRule="auto"/>
        <w:jc w:val="both"/>
      </w:pPr>
      <w:r>
        <w:tab/>
        <w:t>Section 7.31. (G) (1) (g) provides that t</w:t>
      </w:r>
      <w:r w:rsidRPr="00DC77B6">
        <w:t xml:space="preserve">he </w:t>
      </w:r>
      <w:r>
        <w:t>“</w:t>
      </w:r>
      <w:r w:rsidRPr="00DC77B6">
        <w:t>nonresidential use of the unit is limited to office, personal service, retail and artisanal uses</w:t>
      </w:r>
      <w:r>
        <w:t>.”</w:t>
      </w:r>
    </w:p>
    <w:p w14:paraId="60F200E4" w14:textId="77777777" w:rsidR="00E15CBA" w:rsidRDefault="00361B31" w:rsidP="00E15CBA">
      <w:pPr>
        <w:spacing w:line="480" w:lineRule="auto"/>
        <w:jc w:val="center"/>
      </w:pPr>
      <w:r>
        <w:t>15</w:t>
      </w:r>
      <w:r w:rsidR="00E15CBA">
        <w:t>.</w:t>
      </w:r>
    </w:p>
    <w:p w14:paraId="3F190664" w14:textId="77777777" w:rsidR="00E15690" w:rsidRDefault="00DC77B6" w:rsidP="00E15690">
      <w:pPr>
        <w:spacing w:line="480" w:lineRule="auto"/>
        <w:jc w:val="both"/>
      </w:pPr>
      <w:r>
        <w:t xml:space="preserve"> </w:t>
      </w:r>
      <w:r w:rsidRPr="00DC77B6">
        <w:t> </w:t>
      </w:r>
      <w:r w:rsidR="00E15690">
        <w:tab/>
        <w:t>Defendant’s proper</w:t>
      </w:r>
      <w:r w:rsidR="00E94370">
        <w:t>ty is zoned Residential Estate 2 (“RE-2</w:t>
      </w:r>
      <w:r w:rsidR="00E15690">
        <w:t>”).</w:t>
      </w:r>
    </w:p>
    <w:p w14:paraId="3E1702D2" w14:textId="77777777" w:rsidR="00E15CBA" w:rsidRDefault="00361B31" w:rsidP="00E15CBA">
      <w:pPr>
        <w:spacing w:line="480" w:lineRule="auto"/>
        <w:jc w:val="center"/>
      </w:pPr>
      <w:r>
        <w:t>16</w:t>
      </w:r>
      <w:r w:rsidR="00E15CBA">
        <w:t>.</w:t>
      </w:r>
    </w:p>
    <w:p w14:paraId="13D3F9A0" w14:textId="77777777" w:rsidR="00B85B7D" w:rsidRDefault="00B85B7D" w:rsidP="00E15690">
      <w:pPr>
        <w:spacing w:line="480" w:lineRule="auto"/>
        <w:jc w:val="both"/>
      </w:pPr>
      <w:r>
        <w:tab/>
        <w:t>Defendants are operating a business</w:t>
      </w:r>
      <w:r w:rsidR="00E94370">
        <w:t xml:space="preserve">—engaging in a commercial use—at </w:t>
      </w:r>
      <w:r>
        <w:t>the subject property and using the subject property as the site for events that make up t</w:t>
      </w:r>
      <w:r w:rsidR="00733F10">
        <w:t>hat</w:t>
      </w:r>
      <w:r>
        <w:t xml:space="preserve"> business.</w:t>
      </w:r>
    </w:p>
    <w:p w14:paraId="461C1F9B" w14:textId="77777777" w:rsidR="00E15CBA" w:rsidRDefault="00361B31" w:rsidP="00E15CBA">
      <w:pPr>
        <w:spacing w:line="480" w:lineRule="auto"/>
        <w:jc w:val="center"/>
      </w:pPr>
      <w:r>
        <w:lastRenderedPageBreak/>
        <w:t>17</w:t>
      </w:r>
      <w:r w:rsidR="00E15CBA">
        <w:t>.</w:t>
      </w:r>
    </w:p>
    <w:p w14:paraId="3FF544CA" w14:textId="77777777" w:rsidR="00B85B7D" w:rsidRDefault="00B85B7D" w:rsidP="00B85B7D">
      <w:pPr>
        <w:spacing w:line="480" w:lineRule="auto"/>
        <w:jc w:val="both"/>
      </w:pPr>
      <w:r>
        <w:tab/>
      </w:r>
      <w:r w:rsidR="00322F22">
        <w:t xml:space="preserve">Upon information and belief, </w:t>
      </w:r>
      <w:r w:rsidRPr="00B85B7D">
        <w:t>Defendants regularly utilize the subject property for lease to others to host</w:t>
      </w:r>
      <w:r w:rsidR="00733F10">
        <w:t xml:space="preserve"> commercial</w:t>
      </w:r>
      <w:r w:rsidRPr="00B85B7D">
        <w:t xml:space="preserve"> events.</w:t>
      </w:r>
    </w:p>
    <w:p w14:paraId="3F5CDE29" w14:textId="77777777" w:rsidR="00E15CBA" w:rsidRPr="00B85B7D" w:rsidRDefault="00361B31" w:rsidP="00E15CBA">
      <w:pPr>
        <w:spacing w:line="480" w:lineRule="auto"/>
        <w:jc w:val="center"/>
      </w:pPr>
      <w:r>
        <w:t>18</w:t>
      </w:r>
      <w:r w:rsidR="00E15CBA">
        <w:t>.</w:t>
      </w:r>
    </w:p>
    <w:p w14:paraId="68C3B07F" w14:textId="77777777" w:rsidR="00B85B7D" w:rsidRDefault="00B85B7D" w:rsidP="00B85B7D">
      <w:pPr>
        <w:spacing w:line="480" w:lineRule="auto"/>
        <w:jc w:val="both"/>
      </w:pPr>
      <w:r w:rsidRPr="00B85B7D">
        <w:tab/>
        <w:t xml:space="preserve">Defendants </w:t>
      </w:r>
      <w:r w:rsidR="00322F22">
        <w:t xml:space="preserve">regularly and continuously advertise the subject property for rent for commercial use and include within said advertisements the </w:t>
      </w:r>
      <w:r w:rsidRPr="00B85B7D">
        <w:t>require</w:t>
      </w:r>
      <w:r w:rsidR="00322F22">
        <w:t>d</w:t>
      </w:r>
      <w:r w:rsidRPr="00B85B7D">
        <w:t xml:space="preserve"> </w:t>
      </w:r>
      <w:r>
        <w:t>fee for</w:t>
      </w:r>
      <w:r w:rsidRPr="00B85B7D">
        <w:t xml:space="preserve"> use of the subject property for </w:t>
      </w:r>
      <w:r>
        <w:t xml:space="preserve">commercial </w:t>
      </w:r>
      <w:r w:rsidRPr="00B85B7D">
        <w:t>events</w:t>
      </w:r>
      <w:r w:rsidR="00275839">
        <w:t xml:space="preserve"> as well as the costs of admission to said events</w:t>
      </w:r>
      <w:r w:rsidRPr="00B85B7D">
        <w:t>.</w:t>
      </w:r>
      <w:r w:rsidR="00275839">
        <w:t xml:space="preserve">  See Exhibit A.</w:t>
      </w:r>
    </w:p>
    <w:p w14:paraId="3656DDAA" w14:textId="77777777" w:rsidR="00E15CBA" w:rsidRPr="00B85B7D" w:rsidRDefault="00361B31" w:rsidP="00E15CBA">
      <w:pPr>
        <w:spacing w:line="480" w:lineRule="auto"/>
        <w:jc w:val="center"/>
      </w:pPr>
      <w:r>
        <w:t>19</w:t>
      </w:r>
      <w:r w:rsidR="00E15CBA">
        <w:t>.</w:t>
      </w:r>
    </w:p>
    <w:p w14:paraId="3D82A151" w14:textId="77777777" w:rsidR="00B85B7D" w:rsidRDefault="00322F22" w:rsidP="00E15690">
      <w:pPr>
        <w:spacing w:line="480" w:lineRule="auto"/>
        <w:jc w:val="both"/>
      </w:pPr>
      <w:r>
        <w:tab/>
        <w:t xml:space="preserve">Defendants </w:t>
      </w:r>
      <w:r w:rsidR="00CF00C7">
        <w:t xml:space="preserve">regularly and continuously </w:t>
      </w:r>
      <w:r>
        <w:t xml:space="preserve">advertise </w:t>
      </w:r>
      <w:r w:rsidR="00275839">
        <w:t xml:space="preserve">for </w:t>
      </w:r>
      <w:r>
        <w:t>and, upon information and belief,</w:t>
      </w:r>
      <w:r w:rsidR="00B85B7D" w:rsidRPr="00B85B7D">
        <w:t xml:space="preserve"> provide additional services to renters of the subject property for </w:t>
      </w:r>
      <w:r w:rsidR="00B85B7D">
        <w:t xml:space="preserve">commercial </w:t>
      </w:r>
      <w:r w:rsidR="00B85B7D" w:rsidRPr="00B85B7D">
        <w:t>events.</w:t>
      </w:r>
    </w:p>
    <w:p w14:paraId="5773831B" w14:textId="77777777" w:rsidR="00E15CBA" w:rsidRDefault="00361B31" w:rsidP="00E15CBA">
      <w:pPr>
        <w:spacing w:line="480" w:lineRule="auto"/>
        <w:jc w:val="center"/>
      </w:pPr>
      <w:r>
        <w:t>20</w:t>
      </w:r>
      <w:r w:rsidR="00E15CBA">
        <w:t>.</w:t>
      </w:r>
    </w:p>
    <w:p w14:paraId="0579851E" w14:textId="77777777" w:rsidR="00E15690" w:rsidRDefault="00E15CBA" w:rsidP="00E15690">
      <w:pPr>
        <w:spacing w:line="480" w:lineRule="auto"/>
        <w:jc w:val="both"/>
      </w:pPr>
      <w:r>
        <w:tab/>
      </w:r>
      <w:r w:rsidR="00E15690">
        <w:t>Defendant</w:t>
      </w:r>
      <w:r w:rsidR="00275839">
        <w:t>s</w:t>
      </w:r>
      <w:r w:rsidR="00E15690">
        <w:t xml:space="preserve"> </w:t>
      </w:r>
      <w:r w:rsidR="00322F22">
        <w:t xml:space="preserve">regularly and </w:t>
      </w:r>
      <w:r w:rsidR="00E15690">
        <w:t xml:space="preserve">continuously </w:t>
      </w:r>
      <w:r w:rsidR="00275839">
        <w:t>advertise</w:t>
      </w:r>
      <w:r w:rsidR="0079229D">
        <w:t xml:space="preserve"> for and </w:t>
      </w:r>
      <w:r w:rsidR="00275839">
        <w:t>utilize</w:t>
      </w:r>
      <w:r w:rsidR="00E15690">
        <w:t xml:space="preserve"> the subject p</w:t>
      </w:r>
      <w:r w:rsidR="00565CE2">
        <w:t>roperty for commercial purposes</w:t>
      </w:r>
      <w:r w:rsidR="00795F8B">
        <w:t>, including, but not necessarily limited to</w:t>
      </w:r>
      <w:r w:rsidR="00565CE2">
        <w:t>:</w:t>
      </w:r>
    </w:p>
    <w:p w14:paraId="21F48F5D" w14:textId="77777777" w:rsidR="00565CE2" w:rsidRDefault="00795F8B" w:rsidP="0079229D">
      <w:pPr>
        <w:pStyle w:val="ListParagraph"/>
        <w:numPr>
          <w:ilvl w:val="0"/>
          <w:numId w:val="3"/>
        </w:numPr>
        <w:spacing w:line="480" w:lineRule="auto"/>
        <w:jc w:val="both"/>
      </w:pPr>
      <w:r>
        <w:t xml:space="preserve">advertising the </w:t>
      </w:r>
      <w:r w:rsidR="00275839">
        <w:t xml:space="preserve">subject </w:t>
      </w:r>
      <w:r>
        <w:t>property as available to rent</w:t>
      </w:r>
      <w:r w:rsidR="00275839">
        <w:t xml:space="preserve"> for a fee</w:t>
      </w:r>
      <w:r>
        <w:t xml:space="preserve"> for p</w:t>
      </w:r>
      <w:r w:rsidR="00275839">
        <w:t>arties and events, including advertising to provide</w:t>
      </w:r>
      <w:r>
        <w:t xml:space="preserve"> certain services as part of the use of the property: offering bartender services for a specified fee; offering sound system use for a specified fee; and use of a pole dance studio for a specified fee </w:t>
      </w:r>
      <w:r w:rsidR="00E94370">
        <w:t>(Exhibit A</w:t>
      </w:r>
      <w:r>
        <w:t>)</w:t>
      </w:r>
    </w:p>
    <w:p w14:paraId="3E2CB6DB" w14:textId="77777777" w:rsidR="00795F8B" w:rsidRDefault="00795F8B" w:rsidP="0079229D">
      <w:pPr>
        <w:pStyle w:val="ListParagraph"/>
        <w:numPr>
          <w:ilvl w:val="0"/>
          <w:numId w:val="3"/>
        </w:numPr>
        <w:spacing w:line="480" w:lineRule="auto"/>
        <w:jc w:val="both"/>
      </w:pPr>
      <w:r>
        <w:t>advertising specific events held at the subject property</w:t>
      </w:r>
      <w:r w:rsidR="00F42584">
        <w:t xml:space="preserve"> including, but not necessarily limited to</w:t>
      </w:r>
      <w:r>
        <w:t>:</w:t>
      </w:r>
    </w:p>
    <w:p w14:paraId="546FC1C1" w14:textId="77777777" w:rsidR="00795F8B" w:rsidRDefault="00F42584" w:rsidP="00795F8B">
      <w:pPr>
        <w:pStyle w:val="ListParagraph"/>
        <w:numPr>
          <w:ilvl w:val="1"/>
          <w:numId w:val="3"/>
        </w:numPr>
        <w:spacing w:line="480" w:lineRule="auto"/>
        <w:jc w:val="both"/>
      </w:pPr>
      <w:proofErr w:type="spellStart"/>
      <w:r>
        <w:t>Mid Morning</w:t>
      </w:r>
      <w:proofErr w:type="spellEnd"/>
      <w:r>
        <w:t xml:space="preserve"> Yoga and M</w:t>
      </w:r>
      <w:r w:rsidR="00E94370">
        <w:t>editation Session (Exhibit A, p. 18</w:t>
      </w:r>
      <w:proofErr w:type="gramStart"/>
      <w:r w:rsidR="00E94370">
        <w:t>);</w:t>
      </w:r>
      <w:proofErr w:type="gramEnd"/>
    </w:p>
    <w:p w14:paraId="5E68ECEB" w14:textId="77777777" w:rsidR="00F42584" w:rsidRDefault="00F42584" w:rsidP="00795F8B">
      <w:pPr>
        <w:pStyle w:val="ListParagraph"/>
        <w:numPr>
          <w:ilvl w:val="1"/>
          <w:numId w:val="3"/>
        </w:numPr>
        <w:spacing w:line="480" w:lineRule="auto"/>
        <w:jc w:val="both"/>
      </w:pPr>
      <w:r>
        <w:t>Saturday Music Jam Session (Exhibit A, p.</w:t>
      </w:r>
      <w:r w:rsidR="00E94370">
        <w:t xml:space="preserve"> 17</w:t>
      </w:r>
      <w:proofErr w:type="gramStart"/>
      <w:r w:rsidR="00E94370">
        <w:t>);</w:t>
      </w:r>
      <w:proofErr w:type="gramEnd"/>
    </w:p>
    <w:p w14:paraId="7A55CB1C" w14:textId="77777777" w:rsidR="00F42584" w:rsidRDefault="00F42584" w:rsidP="00795F8B">
      <w:pPr>
        <w:pStyle w:val="ListParagraph"/>
        <w:numPr>
          <w:ilvl w:val="1"/>
          <w:numId w:val="3"/>
        </w:numPr>
        <w:spacing w:line="480" w:lineRule="auto"/>
        <w:jc w:val="both"/>
      </w:pPr>
      <w:r>
        <w:t>Pole Fitness Lesson with Christine</w:t>
      </w:r>
      <w:r w:rsidR="00B85B7D">
        <w:t xml:space="preserve"> (Exhibit A, p.</w:t>
      </w:r>
      <w:r w:rsidR="00E94370">
        <w:t xml:space="preserve"> 16</w:t>
      </w:r>
      <w:proofErr w:type="gramStart"/>
      <w:r w:rsidR="00E94370">
        <w:t>);</w:t>
      </w:r>
      <w:proofErr w:type="gramEnd"/>
    </w:p>
    <w:p w14:paraId="485DE5E9" w14:textId="77777777" w:rsidR="00B85B7D" w:rsidRDefault="00B85B7D" w:rsidP="00795F8B">
      <w:pPr>
        <w:pStyle w:val="ListParagraph"/>
        <w:numPr>
          <w:ilvl w:val="1"/>
          <w:numId w:val="3"/>
        </w:numPr>
        <w:spacing w:line="480" w:lineRule="auto"/>
        <w:jc w:val="both"/>
      </w:pPr>
      <w:r>
        <w:t xml:space="preserve">Photography 101 Class </w:t>
      </w:r>
      <w:proofErr w:type="gramStart"/>
      <w:r>
        <w:t>With</w:t>
      </w:r>
      <w:proofErr w:type="gramEnd"/>
      <w:r>
        <w:t xml:space="preserve"> </w:t>
      </w:r>
      <w:proofErr w:type="spellStart"/>
      <w:r>
        <w:t>Javi</w:t>
      </w:r>
      <w:proofErr w:type="spellEnd"/>
      <w:r>
        <w:t xml:space="preserve"> (Exhibit A, p. </w:t>
      </w:r>
      <w:r w:rsidR="00E94370">
        <w:t>15);</w:t>
      </w:r>
    </w:p>
    <w:p w14:paraId="5549F57C" w14:textId="77777777" w:rsidR="00B85B7D" w:rsidRDefault="00B85B7D" w:rsidP="00795F8B">
      <w:pPr>
        <w:pStyle w:val="ListParagraph"/>
        <w:numPr>
          <w:ilvl w:val="1"/>
          <w:numId w:val="3"/>
        </w:numPr>
        <w:spacing w:line="480" w:lineRule="auto"/>
        <w:jc w:val="both"/>
      </w:pPr>
      <w:r>
        <w:lastRenderedPageBreak/>
        <w:t xml:space="preserve">Exotic Cooking Class </w:t>
      </w:r>
      <w:proofErr w:type="gramStart"/>
      <w:r>
        <w:t>With</w:t>
      </w:r>
      <w:proofErr w:type="gramEnd"/>
      <w:r>
        <w:t xml:space="preserve"> </w:t>
      </w:r>
      <w:proofErr w:type="spellStart"/>
      <w:r>
        <w:t>Jabriel</w:t>
      </w:r>
      <w:proofErr w:type="spellEnd"/>
      <w:r>
        <w:t xml:space="preserve"> (Exhibit A, p.</w:t>
      </w:r>
      <w:r w:rsidR="00E94370">
        <w:t xml:space="preserve"> 14);</w:t>
      </w:r>
    </w:p>
    <w:p w14:paraId="115B67B9" w14:textId="77777777" w:rsidR="00B85B7D" w:rsidRDefault="00B85B7D" w:rsidP="00795F8B">
      <w:pPr>
        <w:pStyle w:val="ListParagraph"/>
        <w:numPr>
          <w:ilvl w:val="1"/>
          <w:numId w:val="3"/>
        </w:numPr>
        <w:spacing w:line="480" w:lineRule="auto"/>
        <w:jc w:val="both"/>
      </w:pPr>
      <w:r>
        <w:t xml:space="preserve">Standup Comedy Show </w:t>
      </w:r>
      <w:proofErr w:type="gramStart"/>
      <w:r>
        <w:t>With</w:t>
      </w:r>
      <w:proofErr w:type="gramEnd"/>
      <w:r>
        <w:t xml:space="preserve"> Javier McIntosh</w:t>
      </w:r>
      <w:r w:rsidR="00E94370">
        <w:t xml:space="preserve"> (Exhibit A, p. 13);</w:t>
      </w:r>
    </w:p>
    <w:p w14:paraId="7AA6D73B" w14:textId="77777777" w:rsidR="00B85B7D" w:rsidRDefault="00B85B7D" w:rsidP="00795F8B">
      <w:pPr>
        <w:pStyle w:val="ListParagraph"/>
        <w:numPr>
          <w:ilvl w:val="1"/>
          <w:numId w:val="3"/>
        </w:numPr>
        <w:spacing w:line="480" w:lineRule="auto"/>
        <w:jc w:val="both"/>
      </w:pPr>
      <w:r>
        <w:t>Baby Goat Petting Zoo and Goat Themed Freestyle Rap Battle</w:t>
      </w:r>
      <w:r w:rsidR="00E94370">
        <w:t xml:space="preserve"> (Exhibit A, p. 12</w:t>
      </w:r>
      <w:proofErr w:type="gramStart"/>
      <w:r w:rsidR="00E94370">
        <w:t>);</w:t>
      </w:r>
      <w:proofErr w:type="gramEnd"/>
    </w:p>
    <w:p w14:paraId="6D9BE705" w14:textId="77777777" w:rsidR="00B85B7D" w:rsidRDefault="00B85B7D" w:rsidP="00795F8B">
      <w:pPr>
        <w:pStyle w:val="ListParagraph"/>
        <w:numPr>
          <w:ilvl w:val="1"/>
          <w:numId w:val="3"/>
        </w:numPr>
        <w:spacing w:line="480" w:lineRule="auto"/>
        <w:jc w:val="both"/>
      </w:pPr>
      <w:r>
        <w:t>Food and Wine Festival</w:t>
      </w:r>
      <w:r w:rsidR="00E94370">
        <w:t xml:space="preserve"> (Exhibit A, p. 11</w:t>
      </w:r>
      <w:proofErr w:type="gramStart"/>
      <w:r w:rsidR="00E94370">
        <w:t>)</w:t>
      </w:r>
      <w:r w:rsidR="00361B31">
        <w:t>;</w:t>
      </w:r>
      <w:proofErr w:type="gramEnd"/>
    </w:p>
    <w:p w14:paraId="10FA9CEF" w14:textId="77777777" w:rsidR="00B85B7D" w:rsidRDefault="00B85B7D" w:rsidP="00795F8B">
      <w:pPr>
        <w:pStyle w:val="ListParagraph"/>
        <w:numPr>
          <w:ilvl w:val="1"/>
          <w:numId w:val="3"/>
        </w:numPr>
        <w:spacing w:line="480" w:lineRule="auto"/>
        <w:jc w:val="both"/>
      </w:pPr>
      <w:r>
        <w:t xml:space="preserve">Pirate Pool </w:t>
      </w:r>
      <w:proofErr w:type="spellStart"/>
      <w:r>
        <w:t>Parrrty</w:t>
      </w:r>
      <w:proofErr w:type="spellEnd"/>
      <w:r w:rsidR="00E15CBA">
        <w:t>.</w:t>
      </w:r>
      <w:r w:rsidR="00322F22">
        <w:t xml:space="preserve">  (</w:t>
      </w:r>
      <w:r w:rsidR="00E94370">
        <w:t>Exhibit A, p. 20-25</w:t>
      </w:r>
      <w:proofErr w:type="gramStart"/>
      <w:r w:rsidR="00322F22">
        <w:t>)</w:t>
      </w:r>
      <w:r w:rsidR="00361B31">
        <w:t>;</w:t>
      </w:r>
      <w:proofErr w:type="gramEnd"/>
    </w:p>
    <w:p w14:paraId="796348E0" w14:textId="77777777" w:rsidR="00DD2608" w:rsidRPr="00361B31" w:rsidRDefault="00361B31" w:rsidP="00795F8B">
      <w:pPr>
        <w:pStyle w:val="ListParagraph"/>
        <w:numPr>
          <w:ilvl w:val="1"/>
          <w:numId w:val="3"/>
        </w:numPr>
        <w:spacing w:line="480" w:lineRule="auto"/>
        <w:jc w:val="both"/>
      </w:pPr>
      <w:r>
        <w:t xml:space="preserve">Wet </w:t>
      </w:r>
      <w:proofErr w:type="gramStart"/>
      <w:r>
        <w:t>Royalty  (</w:t>
      </w:r>
      <w:proofErr w:type="gramEnd"/>
      <w:r>
        <w:t>Exhibit A, p. 26-27).</w:t>
      </w:r>
    </w:p>
    <w:p w14:paraId="70EFA139" w14:textId="77777777" w:rsidR="00E15690" w:rsidRDefault="00361B31" w:rsidP="00E15690">
      <w:pPr>
        <w:spacing w:line="480" w:lineRule="auto"/>
        <w:jc w:val="center"/>
      </w:pPr>
      <w:r>
        <w:t>21</w:t>
      </w:r>
      <w:r w:rsidR="00E15690">
        <w:t>.</w:t>
      </w:r>
    </w:p>
    <w:p w14:paraId="3408FE9F" w14:textId="77777777" w:rsidR="001E186F" w:rsidRDefault="001E186F" w:rsidP="001E186F">
      <w:pPr>
        <w:spacing w:line="480" w:lineRule="auto"/>
        <w:jc w:val="both"/>
      </w:pPr>
      <w:r>
        <w:tab/>
        <w:t>Defendants have created and maintained online advertisements promoting events at the subject property.  The online advertisements are used for people to purchase the commercially operated events.</w:t>
      </w:r>
    </w:p>
    <w:p w14:paraId="581CD76D" w14:textId="77777777" w:rsidR="001E186F" w:rsidRDefault="001E186F" w:rsidP="001E186F">
      <w:pPr>
        <w:spacing w:line="480" w:lineRule="auto"/>
        <w:jc w:val="center"/>
      </w:pPr>
      <w:r>
        <w:t>22.</w:t>
      </w:r>
    </w:p>
    <w:p w14:paraId="65815D3E" w14:textId="77777777" w:rsidR="001E186F" w:rsidRDefault="001E186F" w:rsidP="001E186F">
      <w:pPr>
        <w:spacing w:line="480" w:lineRule="auto"/>
        <w:jc w:val="both"/>
      </w:pPr>
      <w:r>
        <w:tab/>
        <w:t>The online advertisements declare that many tickets have been sold and are continuing to be sold.  The sale and ticket price include the sale of alcohol.  Defendants do not possess a license to sell alcohol of any kind.</w:t>
      </w:r>
    </w:p>
    <w:p w14:paraId="2EE2FBE6" w14:textId="77777777" w:rsidR="001E186F" w:rsidRDefault="001E186F" w:rsidP="001E186F">
      <w:pPr>
        <w:spacing w:line="480" w:lineRule="auto"/>
        <w:jc w:val="center"/>
      </w:pPr>
      <w:r>
        <w:t>23.</w:t>
      </w:r>
    </w:p>
    <w:p w14:paraId="54E6815E" w14:textId="77777777" w:rsidR="001E186F" w:rsidRDefault="001E186F" w:rsidP="001E186F">
      <w:pPr>
        <w:spacing w:line="480" w:lineRule="auto"/>
        <w:jc w:val="both"/>
      </w:pPr>
      <w:r>
        <w:tab/>
        <w:t>The subject property’s zoning will not allow for a license.</w:t>
      </w:r>
    </w:p>
    <w:p w14:paraId="29FDD2AF" w14:textId="77777777" w:rsidR="001E186F" w:rsidRDefault="001E186F" w:rsidP="001E186F">
      <w:pPr>
        <w:spacing w:line="480" w:lineRule="auto"/>
        <w:jc w:val="center"/>
      </w:pPr>
      <w:r>
        <w:t>24.</w:t>
      </w:r>
    </w:p>
    <w:p w14:paraId="09884DC2" w14:textId="77777777" w:rsidR="00733F10" w:rsidRDefault="007731F4" w:rsidP="00BD6725">
      <w:pPr>
        <w:spacing w:line="480" w:lineRule="auto"/>
        <w:jc w:val="both"/>
      </w:pPr>
      <w:r>
        <w:tab/>
      </w:r>
      <w:r w:rsidR="00BD6725">
        <w:t>The City has received</w:t>
      </w:r>
      <w:r w:rsidR="00BD6725" w:rsidRPr="00BD6725">
        <w:t xml:space="preserve"> complaints from </w:t>
      </w:r>
      <w:r w:rsidR="00733F10">
        <w:t xml:space="preserve">members of the public </w:t>
      </w:r>
      <w:r w:rsidR="00BD6725">
        <w:t>compla</w:t>
      </w:r>
      <w:r w:rsidR="00E921CD">
        <w:t xml:space="preserve">ining of </w:t>
      </w:r>
      <w:r w:rsidR="00733F10">
        <w:t xml:space="preserve">large crowds and </w:t>
      </w:r>
      <w:r w:rsidR="00E921CD">
        <w:t>noise</w:t>
      </w:r>
      <w:r w:rsidR="00733F10">
        <w:t xml:space="preserve"> </w:t>
      </w:r>
      <w:r w:rsidR="00E921CD">
        <w:t xml:space="preserve">emanating from </w:t>
      </w:r>
      <w:r w:rsidR="00BD6725">
        <w:t>commercial event</w:t>
      </w:r>
      <w:r w:rsidR="00E921CD">
        <w:t>s</w:t>
      </w:r>
      <w:r w:rsidR="00733F10">
        <w:t xml:space="preserve"> taking</w:t>
      </w:r>
      <w:r w:rsidR="00BD6725">
        <w:t xml:space="preserve"> place at the subject property</w:t>
      </w:r>
      <w:r w:rsidR="00733F10">
        <w:t>.</w:t>
      </w:r>
      <w:r w:rsidR="00BD6725">
        <w:tab/>
      </w:r>
    </w:p>
    <w:p w14:paraId="4D1BB835" w14:textId="77777777" w:rsidR="00E15CBA" w:rsidRDefault="001E186F" w:rsidP="00E15CBA">
      <w:pPr>
        <w:spacing w:line="480" w:lineRule="auto"/>
        <w:jc w:val="center"/>
      </w:pPr>
      <w:r>
        <w:t>25</w:t>
      </w:r>
      <w:r w:rsidR="00E15CBA">
        <w:t>.</w:t>
      </w:r>
    </w:p>
    <w:p w14:paraId="3B76B3F4" w14:textId="77777777" w:rsidR="009726F4" w:rsidRDefault="00E15CBA" w:rsidP="00BD6725">
      <w:pPr>
        <w:spacing w:line="480" w:lineRule="auto"/>
        <w:jc w:val="both"/>
      </w:pPr>
      <w:r>
        <w:tab/>
      </w:r>
      <w:r w:rsidR="00BD6725">
        <w:t>The City’</w:t>
      </w:r>
      <w:r w:rsidR="00733F10">
        <w:t>s Police Department responded to</w:t>
      </w:r>
      <w:r w:rsidR="00BD6725">
        <w:t xml:space="preserve"> </w:t>
      </w:r>
      <w:r w:rsidR="00733F10">
        <w:t>noise complaints related to a</w:t>
      </w:r>
      <w:r w:rsidR="00BD6725">
        <w:t xml:space="preserve"> commercial event on the subject property on May 31, 2021.  The Police ordered the event to cease,</w:t>
      </w:r>
      <w:r w:rsidR="00733F10">
        <w:t xml:space="preserve"> and cited </w:t>
      </w:r>
      <w:r w:rsidR="00733F10">
        <w:lastRenderedPageBreak/>
        <w:t>Defendant Javier McIntosh</w:t>
      </w:r>
      <w:r w:rsidR="00BD6725">
        <w:t xml:space="preserve"> for violation of the City’s noise ordinance.</w:t>
      </w:r>
      <w:r w:rsidR="00733F10">
        <w:t xml:space="preserve">  </w:t>
      </w:r>
      <w:r w:rsidR="00BD6725">
        <w:t>Approximately 200 or more people were in attendance at the commercial event on May 31, 2021.</w:t>
      </w:r>
    </w:p>
    <w:p w14:paraId="53E2644B" w14:textId="77777777" w:rsidR="009726F4" w:rsidRDefault="001E186F" w:rsidP="009726F4">
      <w:pPr>
        <w:spacing w:line="480" w:lineRule="auto"/>
        <w:jc w:val="center"/>
      </w:pPr>
      <w:r>
        <w:t>26</w:t>
      </w:r>
      <w:r w:rsidR="009726F4">
        <w:t>.</w:t>
      </w:r>
    </w:p>
    <w:p w14:paraId="2F2E641E" w14:textId="77777777" w:rsidR="009726F4" w:rsidRDefault="009726F4" w:rsidP="009726F4">
      <w:pPr>
        <w:spacing w:line="480" w:lineRule="auto"/>
        <w:jc w:val="both"/>
      </w:pPr>
      <w:r>
        <w:tab/>
      </w:r>
      <w:r w:rsidRPr="00DD2608">
        <w:t xml:space="preserve">The </w:t>
      </w:r>
      <w:proofErr w:type="gramStart"/>
      <w:r w:rsidRPr="00DD2608">
        <w:t>City</w:t>
      </w:r>
      <w:proofErr w:type="gramEnd"/>
      <w:r w:rsidRPr="00DD2608">
        <w:t xml:space="preserve"> has c</w:t>
      </w:r>
      <w:r w:rsidR="004625BE" w:rsidRPr="00DD2608">
        <w:t>ited Defendants for violating</w:t>
      </w:r>
      <w:r w:rsidRPr="00DD2608">
        <w:t xml:space="preserve"> the City’s zoning</w:t>
      </w:r>
      <w:r w:rsidR="006C3440" w:rsidRPr="00DD2608">
        <w:t xml:space="preserve"> ordinance for hosting an</w:t>
      </w:r>
      <w:r w:rsidRPr="00DD2608">
        <w:t xml:space="preserve"> event without a special event permit.</w:t>
      </w:r>
    </w:p>
    <w:p w14:paraId="21C3A8B2" w14:textId="77777777" w:rsidR="009726F4" w:rsidRDefault="009726F4" w:rsidP="009726F4">
      <w:pPr>
        <w:spacing w:line="480" w:lineRule="auto"/>
        <w:jc w:val="center"/>
      </w:pPr>
      <w:r>
        <w:t>2</w:t>
      </w:r>
      <w:r w:rsidR="001E186F">
        <w:t>7</w:t>
      </w:r>
      <w:r>
        <w:t>.</w:t>
      </w:r>
    </w:p>
    <w:p w14:paraId="6A2B6750" w14:textId="77777777" w:rsidR="009726F4" w:rsidRDefault="009726F4" w:rsidP="009726F4">
      <w:pPr>
        <w:spacing w:line="480" w:lineRule="auto"/>
        <w:jc w:val="both"/>
      </w:pPr>
      <w:r>
        <w:tab/>
      </w:r>
      <w:r w:rsidRPr="00DD2608">
        <w:t>The City ha</w:t>
      </w:r>
      <w:r w:rsidR="004625BE" w:rsidRPr="00DD2608">
        <w:t>s cited Defendants for violating</w:t>
      </w:r>
      <w:r w:rsidRPr="00DD2608">
        <w:t xml:space="preserve"> the City’s zoning ordinance for</w:t>
      </w:r>
      <w:r w:rsidR="006C3440" w:rsidRPr="00DD2608">
        <w:t xml:space="preserve"> impermissibly</w:t>
      </w:r>
      <w:r w:rsidRPr="00DD2608">
        <w:t xml:space="preserve"> </w:t>
      </w:r>
      <w:r w:rsidR="006C3440" w:rsidRPr="00DD2608">
        <w:t>utilizing the subject property</w:t>
      </w:r>
      <w:r w:rsidR="00322F22" w:rsidRPr="00DD2608">
        <w:t xml:space="preserve"> as a commercial use</w:t>
      </w:r>
      <w:r w:rsidR="006C3440" w:rsidRPr="00DD2608">
        <w:t xml:space="preserve"> in a residentially zoned area.</w:t>
      </w:r>
    </w:p>
    <w:p w14:paraId="1E27602D" w14:textId="77777777" w:rsidR="006C3440" w:rsidRDefault="001E186F" w:rsidP="006C3440">
      <w:pPr>
        <w:spacing w:line="480" w:lineRule="auto"/>
        <w:jc w:val="center"/>
      </w:pPr>
      <w:r>
        <w:t>28</w:t>
      </w:r>
      <w:r w:rsidR="006C3440" w:rsidRPr="006C3440">
        <w:t>.</w:t>
      </w:r>
    </w:p>
    <w:p w14:paraId="67A15857" w14:textId="77777777" w:rsidR="004625BE" w:rsidRDefault="004625BE" w:rsidP="004625BE">
      <w:pPr>
        <w:spacing w:line="480" w:lineRule="auto"/>
        <w:jc w:val="both"/>
      </w:pPr>
      <w:r>
        <w:tab/>
      </w:r>
      <w:r>
        <w:tab/>
        <w:t xml:space="preserve">The </w:t>
      </w:r>
      <w:proofErr w:type="gramStart"/>
      <w:r>
        <w:t>C</w:t>
      </w:r>
      <w:r w:rsidR="00A15F25">
        <w:t>ity</w:t>
      </w:r>
      <w:proofErr w:type="gramEnd"/>
      <w:r w:rsidR="00A15F25">
        <w:t xml:space="preserve"> has provided</w:t>
      </w:r>
      <w:r>
        <w:t xml:space="preserve"> Defendants </w:t>
      </w:r>
      <w:r w:rsidR="00A15F25">
        <w:t>a Notice of V</w:t>
      </w:r>
      <w:r>
        <w:t>iolati</w:t>
      </w:r>
      <w:r w:rsidR="00A15F25">
        <w:t>on for violating</w:t>
      </w:r>
      <w:r>
        <w:t xml:space="preserve"> the City’s zoning ordinance for impermissibly installing a gate without a permit.</w:t>
      </w:r>
      <w:r w:rsidR="00A15F25">
        <w:t xml:space="preserve">  See Dev. Code Sec. 8.2.10.</w:t>
      </w:r>
    </w:p>
    <w:p w14:paraId="33C6F213" w14:textId="77777777" w:rsidR="004625BE" w:rsidRDefault="001E186F" w:rsidP="004625BE">
      <w:pPr>
        <w:spacing w:line="480" w:lineRule="auto"/>
        <w:jc w:val="center"/>
      </w:pPr>
      <w:r>
        <w:t>29</w:t>
      </w:r>
      <w:r w:rsidR="004625BE">
        <w:t>.</w:t>
      </w:r>
    </w:p>
    <w:p w14:paraId="72418F07" w14:textId="77777777" w:rsidR="00507C33" w:rsidRPr="00507C33" w:rsidRDefault="00507C33" w:rsidP="00507C33">
      <w:pPr>
        <w:spacing w:line="480" w:lineRule="auto"/>
        <w:jc w:val="both"/>
      </w:pPr>
      <w:r>
        <w:tab/>
      </w:r>
      <w:r w:rsidRPr="00507C33">
        <w:t>In furtherance of Defendants’ commercial use of the subject property, Defendants have recently hung tarps near the property line in order to screen the commercial activity from the neighboring residential properties.</w:t>
      </w:r>
    </w:p>
    <w:p w14:paraId="5818EE5C" w14:textId="77777777" w:rsidR="00507C33" w:rsidRDefault="001E186F" w:rsidP="004625BE">
      <w:pPr>
        <w:spacing w:line="480" w:lineRule="auto"/>
        <w:jc w:val="center"/>
      </w:pPr>
      <w:r>
        <w:t>30</w:t>
      </w:r>
      <w:r w:rsidR="00361B31">
        <w:t>.</w:t>
      </w:r>
    </w:p>
    <w:p w14:paraId="4F7D3223" w14:textId="77777777" w:rsidR="00A15F25" w:rsidRPr="00A15F25" w:rsidRDefault="00A15F25" w:rsidP="00A15F25">
      <w:pPr>
        <w:spacing w:line="480" w:lineRule="auto"/>
        <w:jc w:val="both"/>
      </w:pPr>
      <w:r>
        <w:tab/>
        <w:t xml:space="preserve">The City has </w:t>
      </w:r>
      <w:r w:rsidRPr="00A15F25">
        <w:t xml:space="preserve">provided Defendants a Notice of Violation for violating the City’s </w:t>
      </w:r>
      <w:r>
        <w:t>Code of O</w:t>
      </w:r>
      <w:r w:rsidRPr="00A15F25">
        <w:t>rdinance</w:t>
      </w:r>
      <w:r>
        <w:t xml:space="preserve">s for accumulating rubbish or garbage </w:t>
      </w:r>
      <w:r w:rsidR="00361B31">
        <w:t>via the</w:t>
      </w:r>
      <w:r w:rsidRPr="00A15F25">
        <w:t xml:space="preserve"> </w:t>
      </w:r>
      <w:r>
        <w:t xml:space="preserve">installation of tarps on the subject property.  </w:t>
      </w:r>
      <w:r w:rsidRPr="00A15F25">
        <w:t xml:space="preserve">See </w:t>
      </w:r>
      <w:r>
        <w:t>City</w:t>
      </w:r>
      <w:r w:rsidRPr="00A15F25">
        <w:t xml:space="preserve"> Code S</w:t>
      </w:r>
      <w:r>
        <w:t>ec. 105-20 and International Property Maintenance Code.</w:t>
      </w:r>
    </w:p>
    <w:p w14:paraId="10F94614" w14:textId="77777777" w:rsidR="00A15F25" w:rsidRPr="006C3440" w:rsidRDefault="001E186F" w:rsidP="00361B31">
      <w:pPr>
        <w:spacing w:line="480" w:lineRule="auto"/>
        <w:jc w:val="center"/>
      </w:pPr>
      <w:r>
        <w:t>31</w:t>
      </w:r>
      <w:r w:rsidR="00361B31">
        <w:t>.</w:t>
      </w:r>
    </w:p>
    <w:p w14:paraId="46022D2E" w14:textId="77777777" w:rsidR="006C3440" w:rsidRPr="006C3440" w:rsidRDefault="004625BE" w:rsidP="006C3440">
      <w:pPr>
        <w:spacing w:line="480" w:lineRule="auto"/>
        <w:jc w:val="both"/>
      </w:pPr>
      <w:r>
        <w:tab/>
        <w:t>In furtherance</w:t>
      </w:r>
      <w:r w:rsidR="006C3440" w:rsidRPr="006C3440">
        <w:t xml:space="preserve"> of Defendants’ commercial use of the residential</w:t>
      </w:r>
      <w:r w:rsidR="00DD2608">
        <w:t>ly zoned</w:t>
      </w:r>
      <w:r w:rsidR="006C3440" w:rsidRPr="006C3440">
        <w:t xml:space="preserve"> prop</w:t>
      </w:r>
      <w:r w:rsidR="00DD2608">
        <w:t>erty, Defendants currently have</w:t>
      </w:r>
      <w:r w:rsidR="006C3440" w:rsidRPr="006C3440">
        <w:t xml:space="preserve"> commercial event</w:t>
      </w:r>
      <w:r w:rsidR="00DD2608">
        <w:t>s</w:t>
      </w:r>
      <w:r w:rsidR="006C3440" w:rsidRPr="006C3440">
        <w:t xml:space="preserve"> imminently scheduled at the subject property on </w:t>
      </w:r>
      <w:r>
        <w:t xml:space="preserve">June 19, </w:t>
      </w:r>
      <w:proofErr w:type="gramStart"/>
      <w:r>
        <w:t>2021</w:t>
      </w:r>
      <w:proofErr w:type="gramEnd"/>
      <w:r>
        <w:t xml:space="preserve"> and </w:t>
      </w:r>
      <w:r w:rsidR="006C3440" w:rsidRPr="006C3440">
        <w:t>June 26,</w:t>
      </w:r>
      <w:r w:rsidR="006C3440">
        <w:t xml:space="preserve"> 2021.</w:t>
      </w:r>
      <w:r w:rsidR="006C3440" w:rsidRPr="006C3440">
        <w:t xml:space="preserve"> </w:t>
      </w:r>
      <w:r w:rsidR="00275839">
        <w:t>See Exhibit A.</w:t>
      </w:r>
    </w:p>
    <w:p w14:paraId="5C8C153A" w14:textId="77777777" w:rsidR="00EE04BB" w:rsidRDefault="00EE04BB" w:rsidP="007E6F7A">
      <w:pPr>
        <w:jc w:val="center"/>
        <w:rPr>
          <w:b/>
        </w:rPr>
      </w:pPr>
    </w:p>
    <w:p w14:paraId="051731E8" w14:textId="77777777" w:rsidR="00595F9B" w:rsidRDefault="00595F9B" w:rsidP="007E6F7A">
      <w:pPr>
        <w:jc w:val="center"/>
        <w:rPr>
          <w:b/>
        </w:rPr>
      </w:pPr>
      <w:r>
        <w:rPr>
          <w:b/>
        </w:rPr>
        <w:t>Count I:  Violation of City’s Zoning Ordinance</w:t>
      </w:r>
      <w:r w:rsidR="00275839">
        <w:rPr>
          <w:b/>
        </w:rPr>
        <w:t>—</w:t>
      </w:r>
      <w:r w:rsidR="004625BE">
        <w:rPr>
          <w:b/>
        </w:rPr>
        <w:t xml:space="preserve">Emergency Temporary Restraining Order, </w:t>
      </w:r>
      <w:r w:rsidR="007E6F7A">
        <w:rPr>
          <w:b/>
        </w:rPr>
        <w:t>Interlocutory and Permanent Injunctive Relief</w:t>
      </w:r>
    </w:p>
    <w:p w14:paraId="65E250F8" w14:textId="77777777" w:rsidR="007E6F7A" w:rsidRDefault="007E6F7A" w:rsidP="007E6F7A">
      <w:pPr>
        <w:jc w:val="center"/>
        <w:rPr>
          <w:b/>
        </w:rPr>
      </w:pPr>
    </w:p>
    <w:p w14:paraId="36492312" w14:textId="77777777" w:rsidR="006C3440" w:rsidRDefault="001E186F" w:rsidP="006C3440">
      <w:pPr>
        <w:spacing w:line="480" w:lineRule="auto"/>
        <w:jc w:val="center"/>
      </w:pPr>
      <w:r>
        <w:t>32</w:t>
      </w:r>
      <w:r w:rsidR="006C3440">
        <w:t>.</w:t>
      </w:r>
    </w:p>
    <w:p w14:paraId="2ED32F60" w14:textId="77777777" w:rsidR="006C3440" w:rsidRPr="006C3440" w:rsidRDefault="006C3440" w:rsidP="006C3440">
      <w:pPr>
        <w:spacing w:line="480" w:lineRule="auto"/>
        <w:jc w:val="both"/>
      </w:pPr>
      <w:r>
        <w:tab/>
      </w:r>
      <w:r w:rsidRPr="006C3440">
        <w:t xml:space="preserve">The City hereby incorporates paragraphs </w:t>
      </w:r>
      <w:r w:rsidR="001E186F">
        <w:t>10-31</w:t>
      </w:r>
      <w:r w:rsidRPr="006C3440">
        <w:t xml:space="preserve"> as if set forth fully herein.</w:t>
      </w:r>
    </w:p>
    <w:p w14:paraId="76CD3470" w14:textId="77777777" w:rsidR="006C3440" w:rsidRPr="006C3440" w:rsidRDefault="001E186F" w:rsidP="006C3440">
      <w:pPr>
        <w:spacing w:line="480" w:lineRule="auto"/>
        <w:jc w:val="center"/>
      </w:pPr>
      <w:r>
        <w:t>33</w:t>
      </w:r>
      <w:r w:rsidR="006C3440">
        <w:t>.</w:t>
      </w:r>
    </w:p>
    <w:p w14:paraId="3961A03A" w14:textId="77777777" w:rsidR="00595F9B" w:rsidRDefault="006C3440" w:rsidP="00595F9B">
      <w:pPr>
        <w:spacing w:line="480" w:lineRule="auto"/>
        <w:jc w:val="both"/>
      </w:pPr>
      <w:r>
        <w:rPr>
          <w:b/>
        </w:rPr>
        <w:tab/>
      </w:r>
      <w:r w:rsidR="00734FB9">
        <w:t xml:space="preserve">Defendants are engaging </w:t>
      </w:r>
      <w:r w:rsidR="00062FD8">
        <w:t xml:space="preserve">in ongoing </w:t>
      </w:r>
      <w:r w:rsidR="00595F9B">
        <w:t xml:space="preserve">commercial </w:t>
      </w:r>
      <w:r w:rsidR="00E3703C">
        <w:t>activity</w:t>
      </w:r>
      <w:r w:rsidR="00595F9B">
        <w:t xml:space="preserve"> at the subject property, which is zone</w:t>
      </w:r>
      <w:r w:rsidR="00062FD8">
        <w:t>d</w:t>
      </w:r>
      <w:r w:rsidR="00275839">
        <w:t xml:space="preserve"> RE-2</w:t>
      </w:r>
      <w:r w:rsidR="00595F9B">
        <w:t>.</w:t>
      </w:r>
    </w:p>
    <w:p w14:paraId="714CAE81" w14:textId="77777777" w:rsidR="006C3440" w:rsidRDefault="001E186F" w:rsidP="006C3440">
      <w:pPr>
        <w:spacing w:line="480" w:lineRule="auto"/>
        <w:jc w:val="center"/>
      </w:pPr>
      <w:r>
        <w:t>34</w:t>
      </w:r>
      <w:r w:rsidR="006C3440">
        <w:t>.</w:t>
      </w:r>
    </w:p>
    <w:p w14:paraId="25CF781C" w14:textId="77777777" w:rsidR="00E921CD" w:rsidRDefault="00595F9B" w:rsidP="00595F9B">
      <w:pPr>
        <w:spacing w:line="480" w:lineRule="auto"/>
        <w:jc w:val="both"/>
      </w:pPr>
      <w:r>
        <w:tab/>
      </w:r>
      <w:r w:rsidR="00E921CD" w:rsidRPr="00E921CD">
        <w:t>Defendant’s commercial use of the subject property zoned for residential purposes violates the City’s zoning ordinance.</w:t>
      </w:r>
    </w:p>
    <w:p w14:paraId="233F9DB8" w14:textId="77777777" w:rsidR="006C3440" w:rsidRDefault="001E186F" w:rsidP="006C3440">
      <w:pPr>
        <w:spacing w:line="480" w:lineRule="auto"/>
        <w:jc w:val="center"/>
      </w:pPr>
      <w:r>
        <w:t>35</w:t>
      </w:r>
      <w:r w:rsidR="006C3440">
        <w:t>.</w:t>
      </w:r>
    </w:p>
    <w:p w14:paraId="5A9263A0" w14:textId="77777777" w:rsidR="00734FB9" w:rsidRDefault="00E921CD" w:rsidP="00595F9B">
      <w:pPr>
        <w:spacing w:line="480" w:lineRule="auto"/>
        <w:jc w:val="both"/>
      </w:pPr>
      <w:r>
        <w:tab/>
      </w:r>
      <w:r w:rsidR="00595F9B">
        <w:t>Defendants violate Development Code Section</w:t>
      </w:r>
      <w:r w:rsidR="00E3703C">
        <w:t>s</w:t>
      </w:r>
      <w:r w:rsidR="00595F9B">
        <w:t xml:space="preserve"> 7.1 and 7.3 by </w:t>
      </w:r>
      <w:r w:rsidR="00734FB9">
        <w:t>engaging in</w:t>
      </w:r>
      <w:r w:rsidR="00595F9B">
        <w:t xml:space="preserve"> commercial </w:t>
      </w:r>
      <w:r w:rsidR="00734FB9">
        <w:t>activity</w:t>
      </w:r>
      <w:r w:rsidR="00595F9B">
        <w:t xml:space="preserve"> on property zoned RE-1.</w:t>
      </w:r>
    </w:p>
    <w:p w14:paraId="3D04CB6A" w14:textId="77777777" w:rsidR="006C3440" w:rsidRDefault="001E186F" w:rsidP="006C3440">
      <w:pPr>
        <w:spacing w:line="480" w:lineRule="auto"/>
        <w:jc w:val="center"/>
      </w:pPr>
      <w:r>
        <w:t>36</w:t>
      </w:r>
      <w:r w:rsidR="006C3440">
        <w:t>.</w:t>
      </w:r>
    </w:p>
    <w:p w14:paraId="7BFC769F" w14:textId="77777777" w:rsidR="0028562C" w:rsidRDefault="002233A0" w:rsidP="004625BE">
      <w:pPr>
        <w:spacing w:line="480" w:lineRule="auto"/>
        <w:jc w:val="both"/>
      </w:pPr>
      <w:r>
        <w:tab/>
        <w:t>Defendants commercial use of the residential property do</w:t>
      </w:r>
      <w:r w:rsidR="00361B31">
        <w:t>es</w:t>
      </w:r>
      <w:r>
        <w:t xml:space="preserve"> not fall within any of the relevant exceptions for allowing commercial activity on residentially zoned property.</w:t>
      </w:r>
    </w:p>
    <w:p w14:paraId="1F5FBF27" w14:textId="77777777" w:rsidR="006C3440" w:rsidRDefault="001E186F" w:rsidP="006C3440">
      <w:pPr>
        <w:spacing w:line="480" w:lineRule="auto"/>
        <w:jc w:val="center"/>
      </w:pPr>
      <w:r>
        <w:t>37</w:t>
      </w:r>
      <w:r w:rsidR="006C3440">
        <w:t>.</w:t>
      </w:r>
    </w:p>
    <w:p w14:paraId="37350BB7" w14:textId="77777777" w:rsidR="007E6F7A" w:rsidRDefault="007E6F7A" w:rsidP="007E6F7A">
      <w:pPr>
        <w:spacing w:line="480" w:lineRule="auto"/>
        <w:jc w:val="both"/>
      </w:pPr>
      <w:r>
        <w:tab/>
      </w:r>
      <w:r w:rsidRPr="00EC731A">
        <w:t>“A temporary restraining order</w:t>
      </w:r>
      <w:r w:rsidRPr="007E6F7A">
        <w:t xml:space="preserve"> may be granted without written or oral notice to the adverse party or his attorney only if:</w:t>
      </w:r>
      <w:r>
        <w:t xml:space="preserve"> </w:t>
      </w:r>
      <w:r w:rsidRPr="007E6F7A">
        <w:rPr>
          <w:bCs/>
        </w:rPr>
        <w:t>(1)</w:t>
      </w:r>
      <w:r w:rsidRPr="007E6F7A">
        <w:t xml:space="preserve"> It clearly appears from specific facts shown by affidavit or by the </w:t>
      </w:r>
      <w:r w:rsidRPr="00EC731A">
        <w:t>verified complaint</w:t>
      </w:r>
      <w:r w:rsidRPr="007E6F7A">
        <w:t xml:space="preserve"> that immediate and irreparable injury, loss, or damage will result to the applicant before the adverse party or his attorney can be heard in opposition; and</w:t>
      </w:r>
      <w:r>
        <w:t xml:space="preserve"> </w:t>
      </w:r>
      <w:r w:rsidRPr="007E6F7A">
        <w:rPr>
          <w:bCs/>
        </w:rPr>
        <w:t>(2)</w:t>
      </w:r>
      <w:r w:rsidRPr="007E6F7A">
        <w:t xml:space="preserve"> The </w:t>
      </w:r>
      <w:r w:rsidRPr="00EC731A">
        <w:t>applicant’s attorney certifies</w:t>
      </w:r>
      <w:r w:rsidRPr="007E6F7A">
        <w:t xml:space="preserve"> to the court, in writing, the efforts, if any, which have been made to </w:t>
      </w:r>
      <w:r w:rsidRPr="007E6F7A">
        <w:lastRenderedPageBreak/>
        <w:t>give the notice and t</w:t>
      </w:r>
      <w:r w:rsidR="00E3703C">
        <w:t>he reasons supporting the party’</w:t>
      </w:r>
      <w:r w:rsidRPr="007E6F7A">
        <w:t>s claim that notice should not be required.</w:t>
      </w:r>
      <w:r>
        <w:t>”  O.C.G.A. § 9-11-65.</w:t>
      </w:r>
    </w:p>
    <w:p w14:paraId="090F4F70" w14:textId="77777777" w:rsidR="006C3440" w:rsidRDefault="001E186F" w:rsidP="006C3440">
      <w:pPr>
        <w:spacing w:line="480" w:lineRule="auto"/>
        <w:jc w:val="center"/>
      </w:pPr>
      <w:r>
        <w:t>38</w:t>
      </w:r>
      <w:r w:rsidR="006C3440">
        <w:t>.</w:t>
      </w:r>
    </w:p>
    <w:p w14:paraId="2B673B01" w14:textId="77777777" w:rsidR="007E6F7A" w:rsidRDefault="007E6F7A" w:rsidP="007E6F7A">
      <w:pPr>
        <w:spacing w:line="480" w:lineRule="auto"/>
        <w:jc w:val="both"/>
      </w:pPr>
      <w:r>
        <w:tab/>
        <w:t>The City will suffer</w:t>
      </w:r>
      <w:r w:rsidR="00E3703C">
        <w:t xml:space="preserve"> immediate and</w:t>
      </w:r>
      <w:r>
        <w:t xml:space="preserve"> irreparable injury if the Defendants are allowed to continue to operate their commercial enterprise</w:t>
      </w:r>
      <w:r w:rsidR="00361B31">
        <w:t xml:space="preserve"> on the residentially zoned property</w:t>
      </w:r>
      <w:r>
        <w:t xml:space="preserve">.  Specifically, the </w:t>
      </w:r>
      <w:proofErr w:type="gramStart"/>
      <w:r>
        <w:t>City</w:t>
      </w:r>
      <w:proofErr w:type="gramEnd"/>
      <w:r>
        <w:t xml:space="preserve"> will be forced to intervene at the </w:t>
      </w:r>
      <w:r w:rsidR="00EC731A">
        <w:t xml:space="preserve">imminently </w:t>
      </w:r>
      <w:r>
        <w:t>scheduled</w:t>
      </w:r>
      <w:r w:rsidR="00EC731A">
        <w:t xml:space="preserve"> June 19, 2021 and</w:t>
      </w:r>
      <w:r>
        <w:t xml:space="preserve"> June 26, 2021 event</w:t>
      </w:r>
      <w:r w:rsidR="00361B31">
        <w:t xml:space="preserve">s to shut down </w:t>
      </w:r>
      <w:r>
        <w:t>event</w:t>
      </w:r>
      <w:r w:rsidR="00361B31">
        <w:t>s that are not allowed under the City’s</w:t>
      </w:r>
      <w:r>
        <w:t xml:space="preserve"> zoning ordinance.  </w:t>
      </w:r>
    </w:p>
    <w:p w14:paraId="324F5B7F" w14:textId="77777777" w:rsidR="006C3440" w:rsidRDefault="001E186F" w:rsidP="006C3440">
      <w:pPr>
        <w:spacing w:line="480" w:lineRule="auto"/>
        <w:jc w:val="center"/>
      </w:pPr>
      <w:r>
        <w:t>39</w:t>
      </w:r>
      <w:r w:rsidR="006C3440">
        <w:t>.</w:t>
      </w:r>
    </w:p>
    <w:p w14:paraId="2975F194" w14:textId="77777777" w:rsidR="001C0E9A" w:rsidRDefault="001C0E9A" w:rsidP="007E6F7A">
      <w:pPr>
        <w:spacing w:line="480" w:lineRule="auto"/>
        <w:jc w:val="both"/>
      </w:pPr>
      <w:r>
        <w:tab/>
      </w:r>
      <w:r w:rsidRPr="00145280">
        <w:t xml:space="preserve">The City certifies herein that it has made reasonable attempts to notify the Defendants of this Action.  The </w:t>
      </w:r>
      <w:proofErr w:type="gramStart"/>
      <w:r w:rsidRPr="00145280">
        <w:t>City</w:t>
      </w:r>
      <w:proofErr w:type="gramEnd"/>
      <w:r w:rsidRPr="00145280">
        <w:t xml:space="preserve"> </w:t>
      </w:r>
      <w:r w:rsidR="00145280">
        <w:t>scheduled a meeting with Defendant Javier McIntosh for June 14, 2021, and June 17, 2021, to which no Defendant</w:t>
      </w:r>
      <w:r w:rsidR="00EC731A">
        <w:t xml:space="preserve"> attended.  </w:t>
      </w:r>
      <w:r w:rsidRPr="00145280">
        <w:t xml:space="preserve">The City requests </w:t>
      </w:r>
      <w:proofErr w:type="gramStart"/>
      <w:r w:rsidRPr="00145280">
        <w:t>an ex-</w:t>
      </w:r>
      <w:proofErr w:type="spellStart"/>
      <w:r w:rsidRPr="00145280">
        <w:t>parte</w:t>
      </w:r>
      <w:proofErr w:type="spellEnd"/>
      <w:proofErr w:type="gramEnd"/>
      <w:r w:rsidRPr="00145280">
        <w:t xml:space="preserve"> thirty (30) day Temporary Restraining Order enjoining Defendants from continuing to operate a commercial enterprise on the subject property.</w:t>
      </w:r>
    </w:p>
    <w:p w14:paraId="2CC17776" w14:textId="77777777" w:rsidR="006C3440" w:rsidRDefault="001E186F" w:rsidP="006C3440">
      <w:pPr>
        <w:spacing w:line="480" w:lineRule="auto"/>
        <w:jc w:val="center"/>
      </w:pPr>
      <w:r>
        <w:t>40</w:t>
      </w:r>
      <w:r w:rsidR="006C3440">
        <w:t>.</w:t>
      </w:r>
    </w:p>
    <w:p w14:paraId="1510A24B" w14:textId="77777777" w:rsidR="007E6F7A" w:rsidRDefault="007E6F7A" w:rsidP="00595F9B">
      <w:pPr>
        <w:spacing w:line="480" w:lineRule="auto"/>
        <w:jc w:val="both"/>
      </w:pPr>
      <w:r>
        <w:tab/>
      </w:r>
      <w:r w:rsidRPr="007E6F7A">
        <w:t xml:space="preserve">The City is entitled to </w:t>
      </w:r>
      <w:r w:rsidRPr="00EC731A">
        <w:t>an Emergency Temporary Restraining Order</w:t>
      </w:r>
      <w:r w:rsidR="006C3440">
        <w:t xml:space="preserve"> to prevent the imminent </w:t>
      </w:r>
      <w:r w:rsidR="00AE2CB2">
        <w:t xml:space="preserve">and </w:t>
      </w:r>
      <w:r w:rsidR="006C3440">
        <w:t>continu</w:t>
      </w:r>
      <w:r w:rsidR="00AE2CB2">
        <w:t>ous</w:t>
      </w:r>
      <w:r w:rsidR="006C3440">
        <w:t xml:space="preserve"> commercial use of the subject property</w:t>
      </w:r>
      <w:r w:rsidR="00AE2CB2">
        <w:t xml:space="preserve"> in violation of the City’s zoning ordinance and</w:t>
      </w:r>
      <w:r w:rsidR="006C3440">
        <w:t xml:space="preserve"> subjecting City Code Enforcement and City Police Department to unnecessary </w:t>
      </w:r>
      <w:r w:rsidR="00E3703C">
        <w:t>confrontation</w:t>
      </w:r>
      <w:r w:rsidR="006C3440">
        <w:t>.</w:t>
      </w:r>
    </w:p>
    <w:p w14:paraId="3A2EC21B" w14:textId="77777777" w:rsidR="006C3440" w:rsidRDefault="001E186F" w:rsidP="006C3440">
      <w:pPr>
        <w:spacing w:line="480" w:lineRule="auto"/>
        <w:jc w:val="center"/>
      </w:pPr>
      <w:r>
        <w:t>41</w:t>
      </w:r>
      <w:r w:rsidR="006C3440">
        <w:t>.</w:t>
      </w:r>
    </w:p>
    <w:p w14:paraId="2ED95BC1" w14:textId="77777777" w:rsidR="00AE2CB2" w:rsidRDefault="00AE2CB2" w:rsidP="00AE2CB2">
      <w:pPr>
        <w:spacing w:line="480" w:lineRule="auto"/>
        <w:jc w:val="both"/>
      </w:pPr>
      <w:r>
        <w:tab/>
      </w:r>
      <w:r w:rsidRPr="00AE2CB2">
        <w:t xml:space="preserve">The City is entitled to an Emergency Temporary Restraining Order to prevent the imminent </w:t>
      </w:r>
      <w:r>
        <w:t>and continuous</w:t>
      </w:r>
      <w:r w:rsidRPr="00AE2CB2">
        <w:t xml:space="preserve"> commercial use of the subject property</w:t>
      </w:r>
      <w:r>
        <w:t xml:space="preserve"> </w:t>
      </w:r>
      <w:r w:rsidRPr="00AE2CB2">
        <w:t>in violation of the City’s zoning ordinance</w:t>
      </w:r>
      <w:r>
        <w:t xml:space="preserve"> causing continuous harm to the general public welfare.</w:t>
      </w:r>
    </w:p>
    <w:p w14:paraId="63A1BBB3" w14:textId="77777777" w:rsidR="001E186F" w:rsidRDefault="001E186F" w:rsidP="00AE2CB2">
      <w:pPr>
        <w:spacing w:line="480" w:lineRule="auto"/>
        <w:jc w:val="center"/>
      </w:pPr>
    </w:p>
    <w:p w14:paraId="4EAAB1E5" w14:textId="77777777" w:rsidR="001E186F" w:rsidRDefault="001E186F" w:rsidP="00AE2CB2">
      <w:pPr>
        <w:spacing w:line="480" w:lineRule="auto"/>
        <w:jc w:val="center"/>
      </w:pPr>
    </w:p>
    <w:p w14:paraId="05777F4D" w14:textId="77777777" w:rsidR="00AE2CB2" w:rsidRDefault="001E186F" w:rsidP="00AE2CB2">
      <w:pPr>
        <w:spacing w:line="480" w:lineRule="auto"/>
        <w:jc w:val="center"/>
      </w:pPr>
      <w:r>
        <w:lastRenderedPageBreak/>
        <w:t>42</w:t>
      </w:r>
      <w:r w:rsidR="00AE2CB2">
        <w:t>.</w:t>
      </w:r>
    </w:p>
    <w:p w14:paraId="545B7008" w14:textId="77777777" w:rsidR="001C0E9A" w:rsidRDefault="001C0E9A" w:rsidP="00595F9B">
      <w:pPr>
        <w:spacing w:line="480" w:lineRule="auto"/>
        <w:jc w:val="both"/>
      </w:pPr>
      <w:r>
        <w:tab/>
        <w:t xml:space="preserve">In deciding whether to issue an interlocutory injunction (not being sought via an ex </w:t>
      </w:r>
      <w:proofErr w:type="spellStart"/>
      <w:r>
        <w:t>parte</w:t>
      </w:r>
      <w:proofErr w:type="spellEnd"/>
      <w:r>
        <w:t xml:space="preserve"> temporary restraining order), the trial court should consider whether: 1) there is a substantial threat that the moving party will suffer irreparable injury if the injunction is not granted; 2) the threatened injury to the moving party outweighs the threatened harm that the injunction may do to the party being enjoined; 3) there is a substantial likelihood that the moving party will prevail on the merits of [its] claims at trial, and 4) granting the interlocutory injunction wil</w:t>
      </w:r>
      <w:r w:rsidR="00E3703C">
        <w:t>l</w:t>
      </w:r>
      <w:r>
        <w:t xml:space="preserve"> not disserve the public interest.  See </w:t>
      </w:r>
      <w:r>
        <w:rPr>
          <w:i/>
        </w:rPr>
        <w:t xml:space="preserve">SRB Inv. Servs., LLP v. Branch Banking &amp; Trust Co., </w:t>
      </w:r>
      <w:r>
        <w:t>289 Ga. 1 (2011).</w:t>
      </w:r>
    </w:p>
    <w:p w14:paraId="52E5D28C" w14:textId="77777777" w:rsidR="006C3440" w:rsidRDefault="001E186F" w:rsidP="006C3440">
      <w:pPr>
        <w:spacing w:line="480" w:lineRule="auto"/>
        <w:jc w:val="center"/>
      </w:pPr>
      <w:r>
        <w:t>43</w:t>
      </w:r>
      <w:r w:rsidR="006C3440">
        <w:t>.</w:t>
      </w:r>
    </w:p>
    <w:p w14:paraId="55CB376C" w14:textId="77777777" w:rsidR="008F4265" w:rsidRDefault="006C3440" w:rsidP="00595F9B">
      <w:pPr>
        <w:spacing w:line="480" w:lineRule="auto"/>
        <w:jc w:val="both"/>
      </w:pPr>
      <w:r>
        <w:tab/>
      </w:r>
      <w:r w:rsidR="008F4265">
        <w:t>There is a substantial thr</w:t>
      </w:r>
      <w:r w:rsidR="00E3703C">
        <w:t xml:space="preserve">eat that the damage to the </w:t>
      </w:r>
      <w:proofErr w:type="gramStart"/>
      <w:r w:rsidR="00E3703C">
        <w:t>City</w:t>
      </w:r>
      <w:proofErr w:type="gramEnd"/>
      <w:r w:rsidR="008F4265">
        <w:t xml:space="preserve"> will be irreparable and not compensable with monetary damages as the City will be forced to continue to confront the Defendants in order to enforce its zoning and noise ordinances.</w:t>
      </w:r>
    </w:p>
    <w:p w14:paraId="701A2005" w14:textId="77777777" w:rsidR="006C3440" w:rsidRDefault="001E186F" w:rsidP="006C3440">
      <w:pPr>
        <w:spacing w:line="480" w:lineRule="auto"/>
        <w:jc w:val="center"/>
      </w:pPr>
      <w:r>
        <w:t>44</w:t>
      </w:r>
      <w:r w:rsidR="006C3440">
        <w:t>.</w:t>
      </w:r>
    </w:p>
    <w:p w14:paraId="354B4E56" w14:textId="77777777" w:rsidR="008F4265" w:rsidRDefault="008F4265" w:rsidP="00595F9B">
      <w:pPr>
        <w:spacing w:line="480" w:lineRule="auto"/>
        <w:jc w:val="both"/>
      </w:pPr>
      <w:r>
        <w:tab/>
        <w:t xml:space="preserve">The threat of harm to the </w:t>
      </w:r>
      <w:proofErr w:type="gramStart"/>
      <w:r>
        <w:t>City</w:t>
      </w:r>
      <w:proofErr w:type="gramEnd"/>
      <w:r>
        <w:t xml:space="preserve"> outweighs the threat of harm to Defendants.  Defendants are simply being asked to comply with the City</w:t>
      </w:r>
      <w:r w:rsidR="00E3703C">
        <w:t xml:space="preserve">’s zoning </w:t>
      </w:r>
      <w:proofErr w:type="gramStart"/>
      <w:r w:rsidR="00E3703C">
        <w:t>ordinance</w:t>
      </w:r>
      <w:r w:rsidR="00765AFE">
        <w:t>,</w:t>
      </w:r>
      <w:r w:rsidR="00E3703C">
        <w:t xml:space="preserve"> but</w:t>
      </w:r>
      <w:proofErr w:type="gramEnd"/>
      <w:r w:rsidR="00E3703C">
        <w:t xml:space="preserve"> are allowed continued</w:t>
      </w:r>
      <w:r>
        <w:t xml:space="preserve"> use</w:t>
      </w:r>
      <w:r w:rsidR="00E3703C">
        <w:t xml:space="preserve"> of</w:t>
      </w:r>
      <w:r>
        <w:t xml:space="preserve"> the subject property for all lawful purposes.</w:t>
      </w:r>
    </w:p>
    <w:p w14:paraId="25091016" w14:textId="77777777" w:rsidR="006C3440" w:rsidRDefault="001E186F" w:rsidP="006C3440">
      <w:pPr>
        <w:spacing w:line="480" w:lineRule="auto"/>
        <w:jc w:val="center"/>
      </w:pPr>
      <w:r>
        <w:t>45</w:t>
      </w:r>
      <w:r w:rsidR="006C3440">
        <w:t>.</w:t>
      </w:r>
    </w:p>
    <w:p w14:paraId="67BAE379" w14:textId="77777777" w:rsidR="008F4265" w:rsidRDefault="008F4265" w:rsidP="00595F9B">
      <w:pPr>
        <w:spacing w:line="480" w:lineRule="auto"/>
        <w:jc w:val="both"/>
      </w:pPr>
      <w:r>
        <w:tab/>
        <w:t xml:space="preserve">There is a substantial likelihood that the </w:t>
      </w:r>
      <w:proofErr w:type="gramStart"/>
      <w:r>
        <w:t>City</w:t>
      </w:r>
      <w:proofErr w:type="gramEnd"/>
      <w:r>
        <w:t xml:space="preserve"> will prevail on the merits.  Defendants are operating a commercial business </w:t>
      </w:r>
      <w:r w:rsidR="00765AFE">
        <w:t xml:space="preserve">on </w:t>
      </w:r>
      <w:r>
        <w:t>residentially zoned property.</w:t>
      </w:r>
    </w:p>
    <w:p w14:paraId="07B57DBD" w14:textId="77777777" w:rsidR="006C3440" w:rsidRPr="001C0E9A" w:rsidRDefault="001E186F" w:rsidP="006C3440">
      <w:pPr>
        <w:spacing w:line="480" w:lineRule="auto"/>
        <w:jc w:val="center"/>
      </w:pPr>
      <w:r>
        <w:t>46</w:t>
      </w:r>
      <w:r w:rsidR="006C3440">
        <w:t>.</w:t>
      </w:r>
    </w:p>
    <w:p w14:paraId="58A57AE6" w14:textId="77777777" w:rsidR="00AE2CB2" w:rsidRPr="00AE2CB2" w:rsidRDefault="00595F9B" w:rsidP="00AE2CB2">
      <w:pPr>
        <w:spacing w:line="480" w:lineRule="auto"/>
        <w:jc w:val="both"/>
      </w:pPr>
      <w:r>
        <w:tab/>
        <w:t xml:space="preserve">The City </w:t>
      </w:r>
      <w:r w:rsidRPr="00595F9B">
        <w:t>is entitled to an interlocutory </w:t>
      </w:r>
      <w:r w:rsidRPr="00595F9B">
        <w:rPr>
          <w:bCs/>
        </w:rPr>
        <w:t>injunction</w:t>
      </w:r>
      <w:r w:rsidRPr="00595F9B">
        <w:t> and a permanent </w:t>
      </w:r>
      <w:r w:rsidRPr="00595F9B">
        <w:rPr>
          <w:bCs/>
        </w:rPr>
        <w:t>injunction</w:t>
      </w:r>
      <w:r w:rsidRPr="00595F9B">
        <w:t> </w:t>
      </w:r>
      <w:r w:rsidR="00361B31">
        <w:t>against</w:t>
      </w:r>
      <w:r w:rsidRPr="00595F9B">
        <w:t xml:space="preserve"> </w:t>
      </w:r>
      <w:r>
        <w:t>Defendants—as well as their</w:t>
      </w:r>
      <w:r w:rsidRPr="00595F9B">
        <w:t xml:space="preserve"> officers, agents, servants, employees, and those persons in active con</w:t>
      </w:r>
      <w:r>
        <w:t>c</w:t>
      </w:r>
      <w:r w:rsidR="00FF2E3D">
        <w:t>ert or participation with them—</w:t>
      </w:r>
      <w:r w:rsidR="00AE2CB2" w:rsidRPr="00AE2CB2">
        <w:t xml:space="preserve">to prevent the imminent </w:t>
      </w:r>
      <w:r w:rsidR="00AE2CB2">
        <w:t xml:space="preserve">and </w:t>
      </w:r>
      <w:r w:rsidR="00AE2CB2" w:rsidRPr="00AE2CB2">
        <w:t xml:space="preserve">continued commercial use of the </w:t>
      </w:r>
      <w:r w:rsidR="00AE2CB2" w:rsidRPr="00AE2CB2">
        <w:lastRenderedPageBreak/>
        <w:t>subject property in violation of the City’s zoning ordinance causing continuous harm to the general public welfare.</w:t>
      </w:r>
    </w:p>
    <w:p w14:paraId="5F68AF15" w14:textId="77777777" w:rsidR="00595F9B" w:rsidRDefault="009F304F" w:rsidP="00595F9B">
      <w:pPr>
        <w:spacing w:line="480" w:lineRule="auto"/>
        <w:jc w:val="both"/>
      </w:pPr>
      <w:r>
        <w:tab/>
      </w:r>
    </w:p>
    <w:p w14:paraId="4E119730" w14:textId="77777777" w:rsidR="00FF2E3D" w:rsidRDefault="00FF2E3D" w:rsidP="00FF2E3D">
      <w:pPr>
        <w:spacing w:line="480" w:lineRule="auto"/>
        <w:jc w:val="center"/>
        <w:rPr>
          <w:b/>
        </w:rPr>
      </w:pPr>
      <w:r>
        <w:rPr>
          <w:b/>
        </w:rPr>
        <w:t>Count II:  Nuisance</w:t>
      </w:r>
    </w:p>
    <w:p w14:paraId="13E1EF1F" w14:textId="77777777" w:rsidR="006C3440" w:rsidRPr="006C3440" w:rsidRDefault="001E186F" w:rsidP="00FF2E3D">
      <w:pPr>
        <w:spacing w:line="480" w:lineRule="auto"/>
        <w:jc w:val="center"/>
      </w:pPr>
      <w:r>
        <w:t>47</w:t>
      </w:r>
      <w:r w:rsidR="006C3440" w:rsidRPr="006C3440">
        <w:t>.</w:t>
      </w:r>
    </w:p>
    <w:p w14:paraId="5D9F3434" w14:textId="77777777" w:rsidR="006C3440" w:rsidRDefault="006C3440" w:rsidP="006C3440">
      <w:pPr>
        <w:spacing w:line="480" w:lineRule="auto"/>
        <w:jc w:val="both"/>
      </w:pPr>
      <w:r>
        <w:rPr>
          <w:b/>
        </w:rPr>
        <w:tab/>
      </w:r>
      <w:r w:rsidRPr="006C3440">
        <w:t>The City here</w:t>
      </w:r>
      <w:r w:rsidR="00490DCC">
        <w:t>by incorporates paragraphs 29-43</w:t>
      </w:r>
      <w:r w:rsidRPr="006C3440">
        <w:t xml:space="preserve"> as if set forth fully herein.</w:t>
      </w:r>
    </w:p>
    <w:p w14:paraId="3FA294B8" w14:textId="77777777" w:rsidR="006C3440" w:rsidRPr="006C3440" w:rsidRDefault="001E186F" w:rsidP="006C3440">
      <w:pPr>
        <w:spacing w:line="480" w:lineRule="auto"/>
        <w:jc w:val="center"/>
      </w:pPr>
      <w:r>
        <w:t>48</w:t>
      </w:r>
      <w:r w:rsidR="006C3440">
        <w:t>.</w:t>
      </w:r>
    </w:p>
    <w:p w14:paraId="5B302AE9" w14:textId="77777777" w:rsidR="00565CE2" w:rsidRDefault="00FF2E3D" w:rsidP="00FF2E3D">
      <w:pPr>
        <w:spacing w:line="480" w:lineRule="auto"/>
        <w:jc w:val="both"/>
      </w:pPr>
      <w:r>
        <w:tab/>
      </w:r>
      <w:r w:rsidR="00565CE2" w:rsidRPr="00565CE2">
        <w:t xml:space="preserve">Defendants’ continuous </w:t>
      </w:r>
      <w:r w:rsidR="006F2432">
        <w:t xml:space="preserve">commercial use of </w:t>
      </w:r>
      <w:r w:rsidR="00565CE2" w:rsidRPr="00565CE2">
        <w:t xml:space="preserve">the </w:t>
      </w:r>
      <w:r w:rsidR="00565CE2">
        <w:t xml:space="preserve">residentially zoned </w:t>
      </w:r>
      <w:r w:rsidR="00565CE2" w:rsidRPr="00565CE2">
        <w:t>subject property</w:t>
      </w:r>
      <w:r w:rsidR="00565CE2">
        <w:t xml:space="preserve"> creates excessive noise and generates excessive crowds.</w:t>
      </w:r>
    </w:p>
    <w:p w14:paraId="61EB2534" w14:textId="77777777" w:rsidR="006C3440" w:rsidRDefault="001E186F" w:rsidP="006C3440">
      <w:pPr>
        <w:spacing w:line="480" w:lineRule="auto"/>
        <w:jc w:val="center"/>
      </w:pPr>
      <w:r>
        <w:t>49</w:t>
      </w:r>
      <w:r w:rsidR="006C3440">
        <w:t>.</w:t>
      </w:r>
    </w:p>
    <w:p w14:paraId="14FF1FB3" w14:textId="77777777" w:rsidR="006C3440" w:rsidRDefault="006C3440" w:rsidP="00FF2E3D">
      <w:pPr>
        <w:spacing w:line="480" w:lineRule="auto"/>
        <w:jc w:val="both"/>
      </w:pPr>
      <w:r>
        <w:tab/>
      </w:r>
      <w:r w:rsidR="00FF2E3D">
        <w:t xml:space="preserve">Defendants’ </w:t>
      </w:r>
      <w:r w:rsidR="00565CE2">
        <w:t xml:space="preserve">continuous </w:t>
      </w:r>
      <w:r w:rsidR="006F2432">
        <w:t>commercial use of</w:t>
      </w:r>
      <w:r w:rsidR="00FF2E3D">
        <w:t xml:space="preserve"> the subject property </w:t>
      </w:r>
      <w:r w:rsidR="00FF2E3D" w:rsidRPr="00FF2E3D">
        <w:t xml:space="preserve">causes hurt, inconvenience, </w:t>
      </w:r>
      <w:r w:rsidR="00FF2E3D">
        <w:t>and/</w:t>
      </w:r>
      <w:r w:rsidR="00947F31">
        <w:t>or damage to others.</w:t>
      </w:r>
    </w:p>
    <w:p w14:paraId="1A6FC768" w14:textId="77777777" w:rsidR="00565CE2" w:rsidRDefault="001E186F" w:rsidP="006C3440">
      <w:pPr>
        <w:spacing w:line="480" w:lineRule="auto"/>
        <w:jc w:val="center"/>
      </w:pPr>
      <w:r>
        <w:t>50</w:t>
      </w:r>
      <w:r w:rsidR="006C3440">
        <w:t>.</w:t>
      </w:r>
    </w:p>
    <w:p w14:paraId="4D41AF28" w14:textId="77777777" w:rsidR="00FF2E3D" w:rsidRDefault="00FF2E3D" w:rsidP="00FF2E3D">
      <w:pPr>
        <w:spacing w:line="480" w:lineRule="auto"/>
        <w:jc w:val="both"/>
      </w:pPr>
      <w:r>
        <w:tab/>
      </w:r>
      <w:r w:rsidRPr="00FF2E3D">
        <w:t xml:space="preserve">The inconvenience </w:t>
      </w:r>
      <w:r>
        <w:t xml:space="preserve">is not </w:t>
      </w:r>
      <w:r w:rsidRPr="00FF2E3D">
        <w:t xml:space="preserve">fanciful, or such as would affect only one of fastidious taste, but </w:t>
      </w:r>
      <w:r>
        <w:t xml:space="preserve">is such </w:t>
      </w:r>
      <w:r w:rsidRPr="00FF2E3D">
        <w:t>as would aff</w:t>
      </w:r>
      <w:r>
        <w:t>ect an ordinary, reasonable person.</w:t>
      </w:r>
    </w:p>
    <w:p w14:paraId="6BE96B38" w14:textId="77777777" w:rsidR="006C3440" w:rsidRDefault="001E186F" w:rsidP="006C3440">
      <w:pPr>
        <w:spacing w:line="480" w:lineRule="auto"/>
        <w:jc w:val="center"/>
      </w:pPr>
      <w:r>
        <w:t>51</w:t>
      </w:r>
      <w:r w:rsidR="006C3440">
        <w:t>.</w:t>
      </w:r>
    </w:p>
    <w:p w14:paraId="74C32D70" w14:textId="77777777" w:rsidR="00947F31" w:rsidRDefault="00947F31" w:rsidP="00FF2E3D">
      <w:pPr>
        <w:spacing w:line="480" w:lineRule="auto"/>
        <w:jc w:val="both"/>
      </w:pPr>
      <w:r>
        <w:tab/>
        <w:t xml:space="preserve">Defendants’ </w:t>
      </w:r>
      <w:r w:rsidR="006F2432">
        <w:t xml:space="preserve">continuous commercial use of </w:t>
      </w:r>
      <w:r w:rsidRPr="00947F31">
        <w:t>the subject property</w:t>
      </w:r>
      <w:r w:rsidR="006F2432">
        <w:t>, generating excessive noise and crowds,</w:t>
      </w:r>
      <w:r>
        <w:t xml:space="preserve"> constitutes a </w:t>
      </w:r>
      <w:r w:rsidRPr="00947F31">
        <w:t xml:space="preserve">public nuisance </w:t>
      </w:r>
      <w:r>
        <w:t xml:space="preserve">because it </w:t>
      </w:r>
      <w:r w:rsidRPr="00947F31">
        <w:t>is one</w:t>
      </w:r>
      <w:r>
        <w:t xml:space="preserve"> that</w:t>
      </w:r>
      <w:r w:rsidRPr="00947F31">
        <w:t xml:space="preserve"> damages all persons who come with</w:t>
      </w:r>
      <w:r>
        <w:t>in the sphere of its operation.</w:t>
      </w:r>
    </w:p>
    <w:p w14:paraId="7EB329AE" w14:textId="77777777" w:rsidR="00E15CBA" w:rsidRDefault="001E186F" w:rsidP="006C3440">
      <w:pPr>
        <w:spacing w:line="480" w:lineRule="auto"/>
        <w:jc w:val="center"/>
      </w:pPr>
      <w:r>
        <w:t>52</w:t>
      </w:r>
      <w:r w:rsidR="006C3440">
        <w:t>.</w:t>
      </w:r>
    </w:p>
    <w:p w14:paraId="3A52EC20" w14:textId="77777777" w:rsidR="00A93B82" w:rsidRPr="00A93B82" w:rsidRDefault="00E15CBA" w:rsidP="00A93B82">
      <w:pPr>
        <w:spacing w:line="480" w:lineRule="auto"/>
        <w:jc w:val="both"/>
      </w:pPr>
      <w:r>
        <w:tab/>
        <w:t>Defendants’ violation here of the City’s zoning ordinance</w:t>
      </w:r>
      <w:r w:rsidR="006F2432">
        <w:t xml:space="preserve"> (commercial use in a residentially zoned property)</w:t>
      </w:r>
      <w:r>
        <w:t xml:space="preserve"> constitutes a public nuisance</w:t>
      </w:r>
      <w:r w:rsidR="00A93B82">
        <w:t xml:space="preserve"> </w:t>
      </w:r>
      <w:r w:rsidR="00A93B82" w:rsidRPr="00A93B82">
        <w:t>because it is one that damages all persons who come within the sphere of its operation.</w:t>
      </w:r>
    </w:p>
    <w:p w14:paraId="1A396177" w14:textId="77777777" w:rsidR="006C3440" w:rsidRDefault="001E186F" w:rsidP="006C3440">
      <w:pPr>
        <w:spacing w:line="480" w:lineRule="auto"/>
        <w:jc w:val="center"/>
      </w:pPr>
      <w:r>
        <w:lastRenderedPageBreak/>
        <w:t>53</w:t>
      </w:r>
      <w:r w:rsidR="006C3440">
        <w:t>.</w:t>
      </w:r>
    </w:p>
    <w:p w14:paraId="265CE3E7" w14:textId="77777777" w:rsidR="00947F31" w:rsidRDefault="008737ED" w:rsidP="00FF2E3D">
      <w:pPr>
        <w:spacing w:line="480" w:lineRule="auto"/>
        <w:jc w:val="both"/>
      </w:pPr>
      <w:r>
        <w:tab/>
        <w:t>A</w:t>
      </w:r>
      <w:r w:rsidRPr="008737ED">
        <w:t>ny nuisance which tends to the immediate annoyance of the public in general, is manifestly injurious to the public health or safety, or tends greatly to corrupt the manners and morals of the public may be abated by order of a judge of the superior court of the county in which venue is proper.</w:t>
      </w:r>
      <w:r>
        <w:t xml:space="preserve">  </w:t>
      </w:r>
      <w:r w:rsidR="00E921CD">
        <w:t xml:space="preserve">See </w:t>
      </w:r>
      <w:r>
        <w:t>O.C.G.A. § 41-2-1</w:t>
      </w:r>
    </w:p>
    <w:p w14:paraId="549FEE4E" w14:textId="77777777" w:rsidR="00A93B82" w:rsidRDefault="00A93B82" w:rsidP="00FF2E3D">
      <w:pPr>
        <w:spacing w:line="480" w:lineRule="auto"/>
        <w:jc w:val="both"/>
      </w:pPr>
    </w:p>
    <w:p w14:paraId="16861AED" w14:textId="77777777" w:rsidR="008737ED" w:rsidRDefault="009F304F" w:rsidP="008737ED">
      <w:pPr>
        <w:spacing w:line="480" w:lineRule="auto"/>
        <w:jc w:val="both"/>
      </w:pPr>
      <w:r>
        <w:rPr>
          <w:b/>
        </w:rPr>
        <w:tab/>
        <w:t>WHEREFORE</w:t>
      </w:r>
      <w:r>
        <w:t xml:space="preserve">, the </w:t>
      </w:r>
      <w:proofErr w:type="gramStart"/>
      <w:r>
        <w:t>City</w:t>
      </w:r>
      <w:proofErr w:type="gramEnd"/>
      <w:r>
        <w:t xml:space="preserve"> </w:t>
      </w:r>
      <w:r w:rsidR="008737ED" w:rsidRPr="008737ED">
        <w:t>respectfully requests this Court to</w:t>
      </w:r>
      <w:r w:rsidR="008737ED">
        <w:t>:</w:t>
      </w:r>
    </w:p>
    <w:p w14:paraId="31C3C1DA" w14:textId="77777777" w:rsidR="009726F4" w:rsidRDefault="00D4792F" w:rsidP="008737ED">
      <w:pPr>
        <w:pStyle w:val="ListParagraph"/>
        <w:numPr>
          <w:ilvl w:val="0"/>
          <w:numId w:val="2"/>
        </w:numPr>
        <w:spacing w:line="480" w:lineRule="auto"/>
        <w:jc w:val="both"/>
      </w:pPr>
      <w:r w:rsidRPr="00DD2608">
        <w:t>i</w:t>
      </w:r>
      <w:r w:rsidR="009726F4" w:rsidRPr="00DD2608">
        <w:t>ssue a</w:t>
      </w:r>
      <w:r w:rsidR="006C3440" w:rsidRPr="00DD2608">
        <w:t xml:space="preserve">n ex </w:t>
      </w:r>
      <w:proofErr w:type="spellStart"/>
      <w:r w:rsidR="006C3440" w:rsidRPr="00DD2608">
        <w:t>parte</w:t>
      </w:r>
      <w:proofErr w:type="spellEnd"/>
      <w:r w:rsidR="009726F4" w:rsidRPr="00DD2608">
        <w:t xml:space="preserve"> temporary restraining order</w:t>
      </w:r>
      <w:r w:rsidR="009726F4">
        <w:t>, ordering Defendants—</w:t>
      </w:r>
      <w:r w:rsidR="009726F4" w:rsidRPr="009726F4">
        <w:t>as well as their officers, agents, servants, employees, and those persons in active concert or participation with them</w:t>
      </w:r>
      <w:r w:rsidR="009726F4">
        <w:t>—</w:t>
      </w:r>
      <w:r w:rsidR="009726F4" w:rsidRPr="009726F4">
        <w:t xml:space="preserve"> to immediately cease </w:t>
      </w:r>
      <w:r w:rsidR="009726F4">
        <w:t>operating the commercial activities on the subject property (Count I</w:t>
      </w:r>
      <w:proofErr w:type="gramStart"/>
      <w:r w:rsidR="009726F4">
        <w:t>);</w:t>
      </w:r>
      <w:proofErr w:type="gramEnd"/>
    </w:p>
    <w:p w14:paraId="3DF0942C" w14:textId="77777777" w:rsidR="008737ED" w:rsidRDefault="006C3440" w:rsidP="008737ED">
      <w:pPr>
        <w:pStyle w:val="ListParagraph"/>
        <w:numPr>
          <w:ilvl w:val="0"/>
          <w:numId w:val="2"/>
        </w:numPr>
        <w:spacing w:line="480" w:lineRule="auto"/>
        <w:jc w:val="both"/>
      </w:pPr>
      <w:r>
        <w:t>i</w:t>
      </w:r>
      <w:r w:rsidR="008737ED" w:rsidRPr="008737ED">
        <w:t>ssue an interlocutory </w:t>
      </w:r>
      <w:r w:rsidR="008737ED" w:rsidRPr="008737ED">
        <w:rPr>
          <w:bCs/>
        </w:rPr>
        <w:t>injunction</w:t>
      </w:r>
      <w:r w:rsidR="008737ED" w:rsidRPr="008737ED">
        <w:t> and a permanent </w:t>
      </w:r>
      <w:r w:rsidR="008737ED" w:rsidRPr="008737ED">
        <w:rPr>
          <w:bCs/>
        </w:rPr>
        <w:t>injunction</w:t>
      </w:r>
      <w:r w:rsidR="00E921CD">
        <w:t> ordering Defendants</w:t>
      </w:r>
      <w:r w:rsidR="008737ED">
        <w:t>—</w:t>
      </w:r>
      <w:r w:rsidR="008737ED" w:rsidRPr="008737ED">
        <w:t>as well as their officers, agents, servants, employees, and those persons in active con</w:t>
      </w:r>
      <w:r w:rsidR="008737ED">
        <w:t>cert or participation with them—</w:t>
      </w:r>
      <w:r w:rsidR="008737ED" w:rsidRPr="008737ED">
        <w:t>to immediately cease</w:t>
      </w:r>
      <w:r w:rsidR="008737ED">
        <w:t xml:space="preserve"> carrying on </w:t>
      </w:r>
      <w:r w:rsidR="00734FB9">
        <w:t xml:space="preserve">the </w:t>
      </w:r>
      <w:r w:rsidR="008737ED">
        <w:t>unlawful comm</w:t>
      </w:r>
      <w:r w:rsidR="006F2432">
        <w:t>ercial activity in a RE-2</w:t>
      </w:r>
      <w:r w:rsidR="008737ED">
        <w:t xml:space="preserve"> zoning district (Count I</w:t>
      </w:r>
      <w:proofErr w:type="gramStart"/>
      <w:r w:rsidR="008737ED">
        <w:t>)</w:t>
      </w:r>
      <w:r w:rsidR="00734FB9">
        <w:t>;</w:t>
      </w:r>
      <w:proofErr w:type="gramEnd"/>
    </w:p>
    <w:p w14:paraId="51713CDE" w14:textId="77777777" w:rsidR="001E186F" w:rsidRDefault="001E186F" w:rsidP="008737ED">
      <w:pPr>
        <w:pStyle w:val="ListParagraph"/>
        <w:numPr>
          <w:ilvl w:val="0"/>
          <w:numId w:val="2"/>
        </w:numPr>
        <w:spacing w:line="480" w:lineRule="auto"/>
        <w:jc w:val="both"/>
      </w:pPr>
      <w:r>
        <w:t>issue an order to remove all advertisements soliciting payment for activities</w:t>
      </w:r>
      <w:r w:rsidR="00775DF2">
        <w:t xml:space="preserve"> at the subject property (Count I</w:t>
      </w:r>
      <w:proofErr w:type="gramStart"/>
      <w:r w:rsidR="00775DF2">
        <w:t>);</w:t>
      </w:r>
      <w:proofErr w:type="gramEnd"/>
      <w:r>
        <w:t xml:space="preserve"> </w:t>
      </w:r>
    </w:p>
    <w:p w14:paraId="0038E52C" w14:textId="77777777" w:rsidR="008737ED" w:rsidRDefault="008737ED" w:rsidP="008737ED">
      <w:pPr>
        <w:pStyle w:val="ListParagraph"/>
        <w:numPr>
          <w:ilvl w:val="0"/>
          <w:numId w:val="2"/>
        </w:numPr>
        <w:spacing w:line="480" w:lineRule="auto"/>
        <w:jc w:val="both"/>
      </w:pPr>
      <w:r>
        <w:t>issue an order to abate the nuisance on the subj</w:t>
      </w:r>
      <w:r w:rsidR="00734FB9">
        <w:t>ect property</w:t>
      </w:r>
      <w:r w:rsidR="00DF1BEC">
        <w:t xml:space="preserve"> by ceasing operation of the commercial use of the residentially zoned property</w:t>
      </w:r>
      <w:r w:rsidR="006C3440">
        <w:t xml:space="preserve"> (Count II); and</w:t>
      </w:r>
    </w:p>
    <w:p w14:paraId="21BC7844" w14:textId="77777777" w:rsidR="006C3440" w:rsidRDefault="006C3440" w:rsidP="008737ED">
      <w:pPr>
        <w:pStyle w:val="ListParagraph"/>
        <w:numPr>
          <w:ilvl w:val="0"/>
          <w:numId w:val="2"/>
        </w:numPr>
        <w:spacing w:line="480" w:lineRule="auto"/>
        <w:jc w:val="both"/>
      </w:pPr>
      <w:r>
        <w:t>such other relief as this Court may deem proper.</w:t>
      </w:r>
    </w:p>
    <w:p w14:paraId="565E93C8" w14:textId="77777777" w:rsidR="00FA768F" w:rsidRDefault="008737ED" w:rsidP="00FA768F">
      <w:pPr>
        <w:spacing w:line="480" w:lineRule="auto"/>
        <w:jc w:val="both"/>
      </w:pPr>
      <w:r>
        <w:tab/>
      </w:r>
    </w:p>
    <w:p w14:paraId="05584809" w14:textId="77777777" w:rsidR="00FA768F" w:rsidRPr="00FA768F" w:rsidRDefault="00FA768F" w:rsidP="00FA768F">
      <w:pPr>
        <w:spacing w:line="480" w:lineRule="auto"/>
        <w:jc w:val="both"/>
      </w:pPr>
      <w:r>
        <w:tab/>
      </w:r>
      <w:r w:rsidRPr="00FA768F">
        <w:rPr>
          <w:rFonts w:eastAsia="Calibri"/>
          <w:szCs w:val="24"/>
        </w:rPr>
        <w:t xml:space="preserve">Respectfully submitted this </w:t>
      </w:r>
      <w:r w:rsidR="00DD2608">
        <w:rPr>
          <w:rFonts w:eastAsia="Calibri"/>
          <w:szCs w:val="24"/>
        </w:rPr>
        <w:t>16</w:t>
      </w:r>
      <w:r w:rsidR="00D4792F" w:rsidRPr="00DD2608">
        <w:rPr>
          <w:rFonts w:eastAsia="Calibri"/>
          <w:szCs w:val="24"/>
        </w:rPr>
        <w:t>th day</w:t>
      </w:r>
      <w:r w:rsidR="00D4792F">
        <w:rPr>
          <w:rFonts w:eastAsia="Calibri"/>
          <w:szCs w:val="24"/>
        </w:rPr>
        <w:t xml:space="preserve"> of </w:t>
      </w:r>
      <w:proofErr w:type="gramStart"/>
      <w:r w:rsidR="00D4792F">
        <w:rPr>
          <w:rFonts w:eastAsia="Calibri"/>
          <w:szCs w:val="24"/>
        </w:rPr>
        <w:t>June</w:t>
      </w:r>
      <w:r w:rsidRPr="00FA768F">
        <w:rPr>
          <w:rFonts w:eastAsia="Calibri"/>
          <w:szCs w:val="24"/>
        </w:rPr>
        <w:t>,</w:t>
      </w:r>
      <w:proofErr w:type="gramEnd"/>
      <w:r w:rsidRPr="00FA768F">
        <w:rPr>
          <w:rFonts w:eastAsia="Calibri"/>
          <w:szCs w:val="24"/>
        </w:rPr>
        <w:t xml:space="preserve"> 2021.</w:t>
      </w:r>
    </w:p>
    <w:p w14:paraId="26D035B9" w14:textId="77777777" w:rsidR="00FA768F" w:rsidRPr="00FA768F" w:rsidRDefault="00FA768F" w:rsidP="00FA768F">
      <w:pPr>
        <w:rPr>
          <w:rFonts w:eastAsia="Calibri"/>
          <w:szCs w:val="24"/>
        </w:rPr>
      </w:pPr>
    </w:p>
    <w:p w14:paraId="1CA9B361" w14:textId="77777777" w:rsidR="00FA768F" w:rsidRPr="00FA768F" w:rsidRDefault="00FA768F" w:rsidP="00FA768F">
      <w:pPr>
        <w:rPr>
          <w:rFonts w:eastAsia="Calibri"/>
          <w:szCs w:val="24"/>
        </w:rPr>
      </w:pPr>
    </w:p>
    <w:p w14:paraId="35535A6B" w14:textId="77777777" w:rsidR="00FA768F" w:rsidRPr="00FA768F" w:rsidRDefault="00FA768F" w:rsidP="00FA768F">
      <w:pPr>
        <w:ind w:left="5040"/>
        <w:rPr>
          <w:rFonts w:eastAsia="Calibri"/>
          <w:szCs w:val="24"/>
        </w:rPr>
      </w:pPr>
      <w:r w:rsidRPr="00FA768F">
        <w:rPr>
          <w:rFonts w:eastAsia="Calibri"/>
          <w:noProof/>
          <w:szCs w:val="24"/>
        </w:rPr>
        <w:lastRenderedPageBreak/>
        <mc:AlternateContent>
          <mc:Choice Requires="wps">
            <w:drawing>
              <wp:anchor distT="0" distB="0" distL="114300" distR="114300" simplePos="0" relativeHeight="251659264" behindDoc="0" locked="0" layoutInCell="1" allowOverlap="1" wp14:anchorId="38222BEB" wp14:editId="11FBAF8A">
                <wp:simplePos x="0" y="0"/>
                <wp:positionH relativeFrom="column">
                  <wp:posOffset>3190240</wp:posOffset>
                </wp:positionH>
                <wp:positionV relativeFrom="paragraph">
                  <wp:posOffset>179070</wp:posOffset>
                </wp:positionV>
                <wp:extent cx="2867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867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D06B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2pt,14.1pt" to="476.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" strokecolor="windowText" strokeweight=".5pt">
                <v:stroke joinstyle="miter"/>
              </v:line>
            </w:pict>
          </mc:Fallback>
        </mc:AlternateContent>
      </w:r>
      <w:r w:rsidRPr="00FA768F">
        <w:rPr>
          <w:rFonts w:eastAsia="Calibri"/>
          <w:szCs w:val="24"/>
        </w:rPr>
        <w:t xml:space="preserve">  /s/ </w:t>
      </w:r>
      <w:r w:rsidRPr="00FA768F">
        <w:rPr>
          <w:rFonts w:eastAsia="Calibri"/>
          <w:i/>
          <w:szCs w:val="24"/>
        </w:rPr>
        <w:t>Daniel W. Lee</w:t>
      </w:r>
    </w:p>
    <w:p w14:paraId="59C08DF7" w14:textId="77777777" w:rsidR="00FA768F" w:rsidRPr="00FA768F" w:rsidRDefault="00FA768F" w:rsidP="00FA768F">
      <w:pPr>
        <w:ind w:left="5040"/>
        <w:rPr>
          <w:rFonts w:eastAsia="Calibri"/>
          <w:szCs w:val="24"/>
        </w:rPr>
      </w:pPr>
      <w:r w:rsidRPr="00FA768F">
        <w:rPr>
          <w:rFonts w:eastAsia="Calibri"/>
          <w:szCs w:val="24"/>
        </w:rPr>
        <w:t>Daniel W. Lee</w:t>
      </w:r>
    </w:p>
    <w:p w14:paraId="4B13276E" w14:textId="77777777" w:rsidR="00FA768F" w:rsidRPr="00FA768F" w:rsidRDefault="00FA768F" w:rsidP="00FA768F">
      <w:pPr>
        <w:ind w:left="5040"/>
        <w:rPr>
          <w:rFonts w:eastAsia="Calibri"/>
          <w:szCs w:val="24"/>
        </w:rPr>
      </w:pPr>
      <w:r w:rsidRPr="00FA768F">
        <w:rPr>
          <w:rFonts w:eastAsia="Calibri"/>
          <w:szCs w:val="24"/>
        </w:rPr>
        <w:t>Georgia Bar No. 443093</w:t>
      </w:r>
    </w:p>
    <w:p w14:paraId="38DC739D" w14:textId="77777777" w:rsidR="00FA768F" w:rsidRPr="00FA768F" w:rsidRDefault="00FA768F" w:rsidP="00FA768F">
      <w:pPr>
        <w:ind w:left="5040"/>
        <w:rPr>
          <w:rFonts w:eastAsia="Calibri"/>
          <w:szCs w:val="24"/>
        </w:rPr>
      </w:pPr>
      <w:r w:rsidRPr="00FA768F">
        <w:rPr>
          <w:rFonts w:eastAsia="Calibri"/>
          <w:szCs w:val="24"/>
        </w:rPr>
        <w:t xml:space="preserve">dlee@fmglaw.com </w:t>
      </w:r>
    </w:p>
    <w:p w14:paraId="7C4C20E7" w14:textId="77777777" w:rsidR="00FA768F" w:rsidRPr="00FA768F" w:rsidRDefault="00FA768F" w:rsidP="00FA768F">
      <w:pPr>
        <w:ind w:left="5040"/>
        <w:rPr>
          <w:rFonts w:eastAsia="Calibri"/>
          <w:szCs w:val="24"/>
        </w:rPr>
      </w:pPr>
    </w:p>
    <w:p w14:paraId="0F973A14" w14:textId="77777777" w:rsidR="00FA768F" w:rsidRPr="00FA768F" w:rsidRDefault="00FA768F" w:rsidP="00FA768F">
      <w:pPr>
        <w:ind w:left="5040" w:hanging="5040"/>
        <w:jc w:val="both"/>
        <w:rPr>
          <w:rFonts w:eastAsia="Calibri"/>
          <w:i/>
          <w:szCs w:val="24"/>
        </w:rPr>
      </w:pPr>
      <w:r w:rsidRPr="00FA768F">
        <w:rPr>
          <w:rFonts w:eastAsia="Calibri"/>
          <w:szCs w:val="24"/>
        </w:rPr>
        <w:tab/>
      </w:r>
      <w:r w:rsidRPr="00FA768F">
        <w:rPr>
          <w:rFonts w:eastAsia="Calibri"/>
          <w:i/>
          <w:szCs w:val="24"/>
        </w:rPr>
        <w:t>Attorney for City of Sandy Springs, Georgia</w:t>
      </w:r>
    </w:p>
    <w:p w14:paraId="379BC3FE" w14:textId="77777777" w:rsidR="00FA768F" w:rsidRPr="00FA768F" w:rsidRDefault="00FA768F" w:rsidP="00FA768F">
      <w:pPr>
        <w:ind w:left="5040" w:hanging="5040"/>
        <w:jc w:val="both"/>
        <w:rPr>
          <w:rFonts w:ascii="Calibri" w:eastAsia="Calibri" w:hAnsi="Calibri"/>
          <w:i/>
          <w:sz w:val="22"/>
          <w:szCs w:val="24"/>
        </w:rPr>
      </w:pPr>
      <w:r w:rsidRPr="00FA768F">
        <w:rPr>
          <w:rFonts w:eastAsia="Calibri"/>
          <w:szCs w:val="24"/>
        </w:rPr>
        <w:t>FREEMAN MATHIS &amp; GARY, LLP</w:t>
      </w:r>
    </w:p>
    <w:p w14:paraId="6DBABFFC" w14:textId="77777777" w:rsidR="00FA768F" w:rsidRPr="00FA768F" w:rsidRDefault="00FA768F" w:rsidP="00FA768F">
      <w:pPr>
        <w:ind w:left="5040" w:hanging="5040"/>
        <w:jc w:val="both"/>
        <w:rPr>
          <w:rFonts w:eastAsia="Calibri"/>
          <w:szCs w:val="24"/>
        </w:rPr>
      </w:pPr>
      <w:r w:rsidRPr="00FA768F">
        <w:rPr>
          <w:rFonts w:eastAsia="Calibri"/>
          <w:szCs w:val="24"/>
        </w:rPr>
        <w:t>100 Galleria Parkway, Suite 1600</w:t>
      </w:r>
    </w:p>
    <w:p w14:paraId="30642926" w14:textId="77777777" w:rsidR="00FA768F" w:rsidRPr="00FA768F" w:rsidRDefault="00FA768F" w:rsidP="00FA768F">
      <w:pPr>
        <w:rPr>
          <w:rFonts w:eastAsia="Calibri"/>
          <w:szCs w:val="24"/>
        </w:rPr>
      </w:pPr>
      <w:r w:rsidRPr="00FA768F">
        <w:rPr>
          <w:rFonts w:eastAsia="Calibri"/>
          <w:szCs w:val="24"/>
        </w:rPr>
        <w:t>Atlanta, Georgia 30339-5948</w:t>
      </w:r>
    </w:p>
    <w:p w14:paraId="0D8B615D" w14:textId="77777777" w:rsidR="00FA768F" w:rsidRPr="00FA768F" w:rsidRDefault="00FA768F" w:rsidP="00FA768F">
      <w:pPr>
        <w:rPr>
          <w:rFonts w:eastAsia="Calibri"/>
          <w:szCs w:val="24"/>
        </w:rPr>
      </w:pPr>
      <w:r w:rsidRPr="00FA768F">
        <w:rPr>
          <w:rFonts w:eastAsia="Calibri"/>
          <w:szCs w:val="24"/>
        </w:rPr>
        <w:t>(770) 818-0000</w:t>
      </w:r>
    </w:p>
    <w:p w14:paraId="3722D5FF" w14:textId="77777777" w:rsidR="00FA768F" w:rsidRPr="00FA768F" w:rsidRDefault="00FA768F" w:rsidP="00FA768F">
      <w:pPr>
        <w:ind w:left="5040"/>
        <w:rPr>
          <w:szCs w:val="28"/>
        </w:rPr>
      </w:pPr>
      <w:r w:rsidRPr="00FA768F">
        <w:rPr>
          <w:szCs w:val="28"/>
        </w:rPr>
        <w:tab/>
      </w:r>
      <w:r w:rsidRPr="00FA768F">
        <w:rPr>
          <w:szCs w:val="28"/>
        </w:rPr>
        <w:tab/>
      </w:r>
      <w:r w:rsidRPr="00FA768F">
        <w:rPr>
          <w:szCs w:val="28"/>
        </w:rPr>
        <w:tab/>
      </w:r>
      <w:r w:rsidRPr="00FA768F">
        <w:rPr>
          <w:szCs w:val="28"/>
        </w:rPr>
        <w:tab/>
      </w:r>
      <w:r w:rsidRPr="00FA768F">
        <w:rPr>
          <w:szCs w:val="28"/>
        </w:rPr>
        <w:tab/>
      </w:r>
    </w:p>
    <w:p w14:paraId="4E786DBB" w14:textId="77777777" w:rsidR="00FA768F" w:rsidRPr="00FA768F" w:rsidRDefault="00FA768F" w:rsidP="00FA768F">
      <w:pPr>
        <w:ind w:left="5040"/>
        <w:rPr>
          <w:rFonts w:eastAsia="Calibri"/>
          <w:szCs w:val="24"/>
        </w:rPr>
      </w:pPr>
    </w:p>
    <w:p w14:paraId="7D166D74" w14:textId="77777777" w:rsidR="00FA768F" w:rsidRPr="00FA768F" w:rsidRDefault="00FA768F" w:rsidP="00FA768F">
      <w:pPr>
        <w:ind w:left="5040"/>
        <w:rPr>
          <w:rFonts w:eastAsia="Calibri"/>
          <w:szCs w:val="24"/>
        </w:rPr>
      </w:pPr>
      <w:r w:rsidRPr="00FA768F">
        <w:rPr>
          <w:rFonts w:eastAsia="Calibri"/>
          <w:szCs w:val="24"/>
        </w:rPr>
        <w:t xml:space="preserve">Caleb G. </w:t>
      </w:r>
      <w:proofErr w:type="spellStart"/>
      <w:r w:rsidRPr="00FA768F">
        <w:rPr>
          <w:rFonts w:eastAsia="Calibri"/>
          <w:szCs w:val="24"/>
        </w:rPr>
        <w:t>Saggus</w:t>
      </w:r>
      <w:proofErr w:type="spellEnd"/>
    </w:p>
    <w:p w14:paraId="60720921" w14:textId="77777777" w:rsidR="00FA768F" w:rsidRPr="00FA768F" w:rsidRDefault="00FA768F" w:rsidP="00FA768F">
      <w:pPr>
        <w:ind w:left="5040"/>
        <w:rPr>
          <w:rFonts w:eastAsia="Calibri"/>
          <w:szCs w:val="24"/>
        </w:rPr>
      </w:pPr>
      <w:r w:rsidRPr="00FA768F">
        <w:rPr>
          <w:rFonts w:eastAsia="Calibri"/>
          <w:szCs w:val="24"/>
        </w:rPr>
        <w:t>Georgia Bar No. 472839</w:t>
      </w:r>
    </w:p>
    <w:p w14:paraId="11D518EC" w14:textId="77777777" w:rsidR="00FA768F" w:rsidRPr="00FA768F" w:rsidRDefault="00FA768F" w:rsidP="00FA768F">
      <w:pPr>
        <w:ind w:left="5040"/>
        <w:rPr>
          <w:rFonts w:eastAsia="Calibri"/>
          <w:szCs w:val="24"/>
        </w:rPr>
      </w:pPr>
      <w:r w:rsidRPr="00FA768F">
        <w:rPr>
          <w:rFonts w:eastAsia="Calibri"/>
          <w:szCs w:val="24"/>
        </w:rPr>
        <w:t>csaggus@sandyspringsga.gov</w:t>
      </w:r>
    </w:p>
    <w:p w14:paraId="3729D8B9" w14:textId="77777777" w:rsidR="00FA768F" w:rsidRPr="00FA768F" w:rsidRDefault="00FA768F" w:rsidP="00FA768F">
      <w:pPr>
        <w:ind w:left="5040"/>
        <w:rPr>
          <w:rFonts w:eastAsia="Calibri"/>
          <w:szCs w:val="24"/>
        </w:rPr>
      </w:pPr>
    </w:p>
    <w:p w14:paraId="5B6BF384" w14:textId="77777777" w:rsidR="00FA768F" w:rsidRPr="00FA768F" w:rsidRDefault="00FA768F" w:rsidP="00FA768F">
      <w:pPr>
        <w:ind w:left="5040"/>
        <w:rPr>
          <w:rFonts w:eastAsia="Calibri"/>
          <w:i/>
          <w:szCs w:val="24"/>
        </w:rPr>
      </w:pPr>
      <w:r w:rsidRPr="00FA768F">
        <w:rPr>
          <w:rFonts w:eastAsia="Calibri"/>
          <w:i/>
          <w:szCs w:val="24"/>
        </w:rPr>
        <w:t>Attorney for City of Sandy Springs, Georgia</w:t>
      </w:r>
    </w:p>
    <w:p w14:paraId="576A05A3" w14:textId="77777777" w:rsidR="00FA768F" w:rsidRPr="00FA768F" w:rsidRDefault="00FA768F" w:rsidP="00FA768F">
      <w:pPr>
        <w:jc w:val="both"/>
        <w:rPr>
          <w:szCs w:val="28"/>
        </w:rPr>
      </w:pPr>
      <w:r w:rsidRPr="00FA768F">
        <w:rPr>
          <w:szCs w:val="28"/>
        </w:rPr>
        <w:t>City of Sandy Springs, Georgia</w:t>
      </w:r>
    </w:p>
    <w:p w14:paraId="196733A1" w14:textId="77777777" w:rsidR="00FA768F" w:rsidRPr="00FA768F" w:rsidRDefault="00FA768F" w:rsidP="00FA768F">
      <w:pPr>
        <w:jc w:val="both"/>
        <w:rPr>
          <w:szCs w:val="28"/>
        </w:rPr>
      </w:pPr>
      <w:r w:rsidRPr="00FA768F">
        <w:rPr>
          <w:szCs w:val="28"/>
        </w:rPr>
        <w:t>1 Galambos Way</w:t>
      </w:r>
    </w:p>
    <w:p w14:paraId="2734732B" w14:textId="77777777" w:rsidR="00FA768F" w:rsidRPr="00FA768F" w:rsidRDefault="00FA768F" w:rsidP="00FA768F">
      <w:pPr>
        <w:jc w:val="both"/>
        <w:rPr>
          <w:szCs w:val="28"/>
        </w:rPr>
      </w:pPr>
      <w:r w:rsidRPr="00FA768F">
        <w:rPr>
          <w:szCs w:val="28"/>
        </w:rPr>
        <w:t>Sandy Springs, GA  30328</w:t>
      </w:r>
    </w:p>
    <w:p w14:paraId="2232FDA2" w14:textId="77777777" w:rsidR="00FA768F" w:rsidRPr="00FA768F" w:rsidRDefault="00FA768F" w:rsidP="00FA768F">
      <w:pPr>
        <w:jc w:val="both"/>
        <w:rPr>
          <w:szCs w:val="28"/>
        </w:rPr>
      </w:pPr>
      <w:r w:rsidRPr="00FA768F">
        <w:rPr>
          <w:szCs w:val="28"/>
        </w:rPr>
        <w:t>(770) 206-2086</w:t>
      </w:r>
    </w:p>
    <w:p w14:paraId="1938EE7F" w14:textId="77777777" w:rsidR="00947F31" w:rsidRDefault="00947F31" w:rsidP="00FF2E3D">
      <w:pPr>
        <w:spacing w:line="480" w:lineRule="auto"/>
        <w:jc w:val="both"/>
      </w:pPr>
    </w:p>
    <w:sectPr w:rsidR="00947F31" w:rsidSect="00733F1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E071" w14:textId="77777777" w:rsidR="0033308F" w:rsidRDefault="0033308F" w:rsidP="00733F10">
      <w:r>
        <w:separator/>
      </w:r>
    </w:p>
  </w:endnote>
  <w:endnote w:type="continuationSeparator" w:id="0">
    <w:p w14:paraId="437E084F" w14:textId="77777777" w:rsidR="0033308F" w:rsidRDefault="0033308F" w:rsidP="0073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151180"/>
      <w:docPartObj>
        <w:docPartGallery w:val="Page Numbers (Bottom of Page)"/>
        <w:docPartUnique/>
      </w:docPartObj>
    </w:sdtPr>
    <w:sdtEndPr>
      <w:rPr>
        <w:color w:val="7F7F7F" w:themeColor="background1" w:themeShade="7F"/>
        <w:spacing w:val="60"/>
      </w:rPr>
    </w:sdtEndPr>
    <w:sdtContent>
      <w:p w14:paraId="33C2590A" w14:textId="77777777" w:rsidR="00D4792F" w:rsidRDefault="00D479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5DF2">
          <w:rPr>
            <w:noProof/>
          </w:rPr>
          <w:t>12</w:t>
        </w:r>
        <w:r>
          <w:rPr>
            <w:noProof/>
          </w:rPr>
          <w:fldChar w:fldCharType="end"/>
        </w:r>
        <w:r>
          <w:t xml:space="preserve"> | </w:t>
        </w:r>
        <w:r>
          <w:rPr>
            <w:color w:val="7F7F7F" w:themeColor="background1" w:themeShade="7F"/>
            <w:spacing w:val="60"/>
          </w:rPr>
          <w:t>Page</w:t>
        </w:r>
      </w:p>
    </w:sdtContent>
  </w:sdt>
  <w:p w14:paraId="41DEB4FE" w14:textId="77777777" w:rsidR="00733F10" w:rsidRDefault="0073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3AAA9" w14:textId="77777777" w:rsidR="0033308F" w:rsidRDefault="0033308F" w:rsidP="00733F10">
      <w:r>
        <w:separator/>
      </w:r>
    </w:p>
  </w:footnote>
  <w:footnote w:type="continuationSeparator" w:id="0">
    <w:p w14:paraId="39825AE2" w14:textId="77777777" w:rsidR="0033308F" w:rsidRDefault="0033308F" w:rsidP="0073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C1100"/>
    <w:multiLevelType w:val="hybridMultilevel"/>
    <w:tmpl w:val="C94041F0"/>
    <w:lvl w:ilvl="0" w:tplc="04090019">
      <w:start w:val="1"/>
      <w:numFmt w:val="lowerLetter"/>
      <w:lvlText w:val="%1."/>
      <w:lvlJc w:val="left"/>
      <w:pPr>
        <w:ind w:left="1080" w:hanging="360"/>
      </w:pPr>
    </w:lvl>
    <w:lvl w:ilvl="1" w:tplc="0409001B">
      <w:start w:val="1"/>
      <w:numFmt w:val="lowerRoman"/>
      <w:lvlText w:val="%2."/>
      <w:lvlJc w:val="right"/>
      <w:pPr>
        <w:ind w:left="22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8B0705"/>
    <w:multiLevelType w:val="hybridMultilevel"/>
    <w:tmpl w:val="1236F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C3C46"/>
    <w:multiLevelType w:val="hybridMultilevel"/>
    <w:tmpl w:val="F3A464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6E"/>
    <w:rsid w:val="00062FD8"/>
    <w:rsid w:val="00083E0B"/>
    <w:rsid w:val="00145280"/>
    <w:rsid w:val="001C0E9A"/>
    <w:rsid w:val="001D337E"/>
    <w:rsid w:val="001E186F"/>
    <w:rsid w:val="002233A0"/>
    <w:rsid w:val="002441D4"/>
    <w:rsid w:val="00275839"/>
    <w:rsid w:val="0028562C"/>
    <w:rsid w:val="00322F22"/>
    <w:rsid w:val="0033308F"/>
    <w:rsid w:val="00361B31"/>
    <w:rsid w:val="00374C65"/>
    <w:rsid w:val="003A7932"/>
    <w:rsid w:val="004625BE"/>
    <w:rsid w:val="00477A6E"/>
    <w:rsid w:val="00490DCC"/>
    <w:rsid w:val="004E0BE6"/>
    <w:rsid w:val="00507C33"/>
    <w:rsid w:val="00565CE2"/>
    <w:rsid w:val="00595F9B"/>
    <w:rsid w:val="0069275C"/>
    <w:rsid w:val="006C3440"/>
    <w:rsid w:val="006F2432"/>
    <w:rsid w:val="00733F10"/>
    <w:rsid w:val="00734FB9"/>
    <w:rsid w:val="00765AFE"/>
    <w:rsid w:val="007731F4"/>
    <w:rsid w:val="00775DF2"/>
    <w:rsid w:val="0079229D"/>
    <w:rsid w:val="00795F8B"/>
    <w:rsid w:val="007E6F7A"/>
    <w:rsid w:val="008737ED"/>
    <w:rsid w:val="008B0C38"/>
    <w:rsid w:val="008F4265"/>
    <w:rsid w:val="00947F31"/>
    <w:rsid w:val="009726F4"/>
    <w:rsid w:val="009F304F"/>
    <w:rsid w:val="00A15F25"/>
    <w:rsid w:val="00A93B82"/>
    <w:rsid w:val="00AE2CB2"/>
    <w:rsid w:val="00B85B7D"/>
    <w:rsid w:val="00BD6725"/>
    <w:rsid w:val="00C5720F"/>
    <w:rsid w:val="00CF00C7"/>
    <w:rsid w:val="00D4792F"/>
    <w:rsid w:val="00DC77B6"/>
    <w:rsid w:val="00DD2608"/>
    <w:rsid w:val="00DF1BEC"/>
    <w:rsid w:val="00E15690"/>
    <w:rsid w:val="00E15CBA"/>
    <w:rsid w:val="00E3703C"/>
    <w:rsid w:val="00E921CD"/>
    <w:rsid w:val="00E94370"/>
    <w:rsid w:val="00EA080F"/>
    <w:rsid w:val="00EA50F9"/>
    <w:rsid w:val="00EC731A"/>
    <w:rsid w:val="00EE04BB"/>
    <w:rsid w:val="00F21701"/>
    <w:rsid w:val="00F42584"/>
    <w:rsid w:val="00FA768F"/>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9FAA"/>
  <w15:chartTrackingRefBased/>
  <w15:docId w15:val="{0DF43E74-C032-4805-86A2-348D9534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ED"/>
    <w:pPr>
      <w:ind w:left="720"/>
      <w:contextualSpacing/>
    </w:pPr>
  </w:style>
  <w:style w:type="paragraph" w:styleId="Header">
    <w:name w:val="header"/>
    <w:basedOn w:val="Normal"/>
    <w:link w:val="HeaderChar"/>
    <w:uiPriority w:val="99"/>
    <w:unhideWhenUsed/>
    <w:rsid w:val="00733F10"/>
    <w:pPr>
      <w:tabs>
        <w:tab w:val="center" w:pos="4680"/>
        <w:tab w:val="right" w:pos="9360"/>
      </w:tabs>
    </w:pPr>
  </w:style>
  <w:style w:type="character" w:customStyle="1" w:styleId="HeaderChar">
    <w:name w:val="Header Char"/>
    <w:basedOn w:val="DefaultParagraphFont"/>
    <w:link w:val="Header"/>
    <w:uiPriority w:val="99"/>
    <w:rsid w:val="00733F1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F10"/>
    <w:pPr>
      <w:tabs>
        <w:tab w:val="center" w:pos="4680"/>
        <w:tab w:val="right" w:pos="9360"/>
      </w:tabs>
    </w:pPr>
  </w:style>
  <w:style w:type="character" w:customStyle="1" w:styleId="FooterChar">
    <w:name w:val="Footer Char"/>
    <w:basedOn w:val="DefaultParagraphFont"/>
    <w:link w:val="Footer"/>
    <w:uiPriority w:val="99"/>
    <w:rsid w:val="00733F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68632">
      <w:bodyDiv w:val="1"/>
      <w:marLeft w:val="0"/>
      <w:marRight w:val="0"/>
      <w:marTop w:val="0"/>
      <w:marBottom w:val="0"/>
      <w:divBdr>
        <w:top w:val="none" w:sz="0" w:space="0" w:color="auto"/>
        <w:left w:val="none" w:sz="0" w:space="0" w:color="auto"/>
        <w:bottom w:val="none" w:sz="0" w:space="0" w:color="auto"/>
        <w:right w:val="none" w:sz="0" w:space="0" w:color="auto"/>
      </w:divBdr>
      <w:divsChild>
        <w:div w:id="392848251">
          <w:marLeft w:val="0"/>
          <w:marRight w:val="0"/>
          <w:marTop w:val="0"/>
          <w:marBottom w:val="0"/>
          <w:divBdr>
            <w:top w:val="none" w:sz="0" w:space="0" w:color="auto"/>
            <w:left w:val="none" w:sz="0" w:space="0" w:color="auto"/>
            <w:bottom w:val="none" w:sz="0" w:space="0" w:color="auto"/>
            <w:right w:val="none" w:sz="0" w:space="0" w:color="auto"/>
          </w:divBdr>
        </w:div>
        <w:div w:id="2956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2439</Words>
  <Characters>11732</Characters>
  <Application>Microsoft Office Word</Application>
  <DocSecurity>0</DocSecurity>
  <Lines>378</Lines>
  <Paragraphs>138</Paragraphs>
  <ScaleCrop>false</ScaleCrop>
  <HeadingPairs>
    <vt:vector size="2" baseType="variant">
      <vt:variant>
        <vt:lpstr>Title</vt:lpstr>
      </vt:variant>
      <vt:variant>
        <vt:i4>1</vt:i4>
      </vt:variant>
    </vt:vector>
  </HeadingPairs>
  <TitlesOfParts>
    <vt:vector size="1" baseType="lpstr">
      <vt:lpstr/>
    </vt:vector>
  </TitlesOfParts>
  <Company>City of Sandy Springs</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Saggus, Caleb</dc:creator>
  <cp:keywords/>
  <dc:description/>
  <cp:lastModifiedBy>Amy Wenk</cp:lastModifiedBy>
  <cp:revision>2</cp:revision>
  <dcterms:created xsi:type="dcterms:W3CDTF">2021-06-17T23:13:00Z</dcterms:created>
  <dcterms:modified xsi:type="dcterms:W3CDTF">2021-06-17T23:13:00Z</dcterms:modified>
</cp:coreProperties>
</file>